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20" w:lineRule="exact"/>
        <w:ind w:firstLine="0" w:firstLineChars="0"/>
        <w:jc w:val="center"/>
        <w:rPr>
          <w:rFonts w:hint="eastAsia" w:ascii="方正小标宋简体" w:hAnsi="宋体" w:eastAsia="方正小标宋简体"/>
          <w:color w:val="auto"/>
          <w:sz w:val="44"/>
          <w:szCs w:val="44"/>
        </w:rPr>
      </w:pPr>
      <w:bookmarkStart w:id="0" w:name="_Toc2525"/>
      <w:bookmarkStart w:id="1" w:name="_Toc306265284"/>
      <w:r>
        <w:rPr>
          <w:rFonts w:hint="eastAsia" w:ascii="方正小标宋简体" w:hAnsi="宋体" w:eastAsia="方正小标宋简体"/>
          <w:color w:val="auto"/>
          <w:sz w:val="44"/>
          <w:szCs w:val="44"/>
        </w:rPr>
        <w:t>医用内窥镜冷光源注册审查指导原则</w:t>
      </w:r>
      <w:bookmarkEnd w:id="0"/>
    </w:p>
    <w:p>
      <w:pPr>
        <w:overflowPunct w:val="0"/>
        <w:spacing w:line="520" w:lineRule="exact"/>
        <w:jc w:val="center"/>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w:t>
      </w:r>
      <w:r>
        <w:rPr>
          <w:rFonts w:hint="eastAsia" w:ascii="方正小标宋简体" w:hAnsi="方正小标宋简体" w:eastAsia="方正小标宋简体" w:cs="方正小标宋简体"/>
          <w:color w:val="auto"/>
          <w:sz w:val="44"/>
          <w:szCs w:val="44"/>
          <w:lang w:val="en-US" w:eastAsia="zh-CN"/>
        </w:rPr>
        <w:t>2023年修订版</w:t>
      </w:r>
      <w:r>
        <w:rPr>
          <w:rFonts w:hint="eastAsia" w:ascii="方正小标宋简体" w:hAnsi="方正小标宋简体" w:eastAsia="方正小标宋简体" w:cs="方正小标宋简体"/>
          <w:color w:val="auto"/>
          <w:sz w:val="44"/>
          <w:szCs w:val="44"/>
          <w:lang w:eastAsia="zh-CN"/>
        </w:rPr>
        <w:t>）（征求意</w:t>
      </w:r>
      <w:bookmarkStart w:id="99" w:name="_GoBack"/>
      <w:bookmarkEnd w:id="99"/>
      <w:r>
        <w:rPr>
          <w:rFonts w:hint="eastAsia" w:ascii="方正小标宋简体" w:hAnsi="方正小标宋简体" w:eastAsia="方正小标宋简体" w:cs="方正小标宋简体"/>
          <w:color w:val="auto"/>
          <w:sz w:val="44"/>
          <w:szCs w:val="44"/>
          <w:lang w:eastAsia="zh-CN"/>
        </w:rPr>
        <w:t>见稿）</w:t>
      </w:r>
    </w:p>
    <w:p>
      <w:pPr>
        <w:pStyle w:val="64"/>
        <w:adjustRightInd/>
        <w:spacing w:line="520" w:lineRule="exact"/>
        <w:ind w:firstLine="640" w:firstLineChars="200"/>
        <w:jc w:val="both"/>
        <w:rPr>
          <w:rFonts w:ascii="Times New Roman" w:eastAsia="仿宋_GB2312" w:cs="Times New Roman"/>
          <w:color w:val="auto"/>
          <w:kern w:val="2"/>
          <w:sz w:val="32"/>
          <w:szCs w:val="32"/>
          <w:highlight w:val="none"/>
        </w:rPr>
      </w:pP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hint="eastAsia" w:ascii="Times New Roman" w:eastAsia="仿宋_GB2312" w:cs="Times New Roman"/>
          <w:color w:val="auto"/>
          <w:kern w:val="2"/>
          <w:sz w:val="32"/>
          <w:szCs w:val="32"/>
          <w:highlight w:val="none"/>
        </w:rPr>
      </w:pPr>
      <w:bookmarkStart w:id="2" w:name="_Toc434231389"/>
      <w:bookmarkStart w:id="3" w:name="_Toc4147"/>
      <w:bookmarkStart w:id="4" w:name="_Toc13788"/>
      <w:bookmarkStart w:id="5" w:name="_Toc833"/>
      <w:r>
        <w:rPr>
          <w:rFonts w:hint="eastAsia" w:ascii="Times New Roman" w:eastAsia="仿宋_GB2312" w:cs="Times New Roman"/>
          <w:color w:val="auto"/>
          <w:kern w:val="2"/>
          <w:sz w:val="32"/>
          <w:szCs w:val="32"/>
          <w:highlight w:val="none"/>
        </w:rPr>
        <w:t>本指导原则旨在指导注册申请人对医用内窥镜冷光源注册申报资料的准备及撰写，同时也为技术审评部门审查注册申报资料提供参考。</w:t>
      </w: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hint="eastAsia" w:ascii="Times New Roman" w:eastAsia="仿宋_GB2312" w:cs="Times New Roman"/>
          <w:color w:val="auto"/>
          <w:kern w:val="2"/>
          <w:sz w:val="32"/>
          <w:szCs w:val="32"/>
          <w:highlight w:val="none"/>
        </w:rPr>
      </w:pPr>
      <w:r>
        <w:rPr>
          <w:rFonts w:hint="eastAsia" w:ascii="Times New Roman" w:eastAsia="仿宋_GB2312" w:cs="Times New Roman"/>
          <w:color w:val="auto"/>
          <w:kern w:val="2"/>
          <w:sz w:val="32"/>
          <w:szCs w:val="32"/>
          <w:highlight w:val="none"/>
        </w:rPr>
        <w:t>本指导原则是对医用内窥镜冷光源的一般要求，申请人应依据产品的具体特性确定其中内容是否适用。若不适用，需具体阐述理由及相应的科学依据，并依据产品的具体特性对注册申报资料的内容进行充实和细化。</w:t>
      </w: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hint="eastAsia" w:ascii="Times New Roman" w:eastAsia="仿宋_GB2312" w:cs="Times New Roman"/>
          <w:color w:val="auto"/>
          <w:kern w:val="2"/>
          <w:sz w:val="32"/>
          <w:szCs w:val="32"/>
          <w:highlight w:val="none"/>
        </w:rPr>
      </w:pPr>
      <w:r>
        <w:rPr>
          <w:rFonts w:hint="eastAsia" w:ascii="Times New Roman" w:eastAsia="仿宋_GB2312" w:cs="Times New Roman"/>
          <w:color w:val="auto"/>
          <w:kern w:val="2"/>
          <w:sz w:val="32"/>
          <w:szCs w:val="32"/>
          <w:highlight w:val="none"/>
        </w:rPr>
        <w:t>本指导原则是供注册申请人和技术审评人员使用的指导性文件，但不包括审评审批所涉及的行政事项，亦不作为法规强制执行，应在遵循相关法规的前提下使用本指导原则。如果有能够满足相关法规要求的其他方法，也可以采用，但是需要提供详细的研究资料和验证资料。</w:t>
      </w: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hint="eastAsia" w:ascii="Times New Roman" w:eastAsia="仿宋_GB2312" w:cs="Times New Roman"/>
          <w:color w:val="auto"/>
          <w:kern w:val="2"/>
          <w:sz w:val="32"/>
          <w:szCs w:val="32"/>
          <w:highlight w:val="none"/>
        </w:rPr>
      </w:pPr>
      <w:r>
        <w:rPr>
          <w:rFonts w:hint="eastAsia" w:ascii="Times New Roman" w:eastAsia="仿宋_GB2312" w:cs="Times New Roman"/>
          <w:color w:val="auto"/>
          <w:kern w:val="2"/>
          <w:sz w:val="32"/>
          <w:szCs w:val="32"/>
          <w:highlight w:val="none"/>
        </w:rPr>
        <w:t>本指导原则是在现行法规和标准体系以及当前认知水平下制定，随着法规和标准的不断完善，以及科学技术的不断发展，相关内容也将适时进行调整。</w:t>
      </w: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eastAsia="黑体"/>
          <w:color w:val="auto"/>
          <w:szCs w:val="32"/>
          <w:highlight w:val="none"/>
        </w:rPr>
      </w:pPr>
      <w:r>
        <w:rPr>
          <w:rFonts w:eastAsia="黑体"/>
          <w:color w:val="auto"/>
          <w:szCs w:val="32"/>
          <w:highlight w:val="none"/>
        </w:rPr>
        <w:t>一、适用范围</w:t>
      </w:r>
      <w:bookmarkEnd w:id="1"/>
      <w:bookmarkEnd w:id="2"/>
      <w:bookmarkEnd w:id="3"/>
      <w:bookmarkEnd w:id="4"/>
      <w:bookmarkEnd w:id="5"/>
    </w:p>
    <w:p>
      <w:pPr>
        <w:keepNext w:val="0"/>
        <w:keepLines w:val="0"/>
        <w:pageBreakBefore w:val="0"/>
        <w:kinsoku/>
        <w:wordWrap/>
        <w:overflowPunct/>
        <w:topLinePunct w:val="0"/>
        <w:bidi w:val="0"/>
        <w:adjustRightInd/>
        <w:spacing w:line="560" w:lineRule="exact"/>
        <w:ind w:firstLine="640" w:firstLineChars="200"/>
        <w:textAlignment w:val="auto"/>
        <w:rPr>
          <w:color w:val="auto"/>
          <w:spacing w:val="-4"/>
          <w:szCs w:val="32"/>
          <w:highlight w:val="none"/>
        </w:rPr>
      </w:pPr>
      <w:r>
        <w:rPr>
          <w:color w:val="auto"/>
          <w:szCs w:val="32"/>
          <w:highlight w:val="none"/>
        </w:rPr>
        <w:t>本指导原则适用于</w:t>
      </w:r>
      <w:r>
        <w:rPr>
          <w:color w:val="auto"/>
          <w:spacing w:val="-4"/>
          <w:szCs w:val="32"/>
          <w:highlight w:val="none"/>
        </w:rPr>
        <w:t>内窥镜检查和手术中作为内窥镜功能供给装置的冷光源产品。</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shd w:val="clear" w:color="auto" w:fill="auto"/>
        </w:rPr>
      </w:pPr>
      <w:r>
        <w:rPr>
          <w:rFonts w:hint="eastAsia"/>
          <w:color w:val="auto"/>
          <w:spacing w:val="-4"/>
          <w:szCs w:val="32"/>
          <w:highlight w:val="none"/>
          <w:shd w:val="clear" w:color="auto" w:fill="auto"/>
        </w:rPr>
        <w:t>与</w:t>
      </w:r>
      <w:r>
        <w:rPr>
          <w:color w:val="auto"/>
          <w:spacing w:val="-4"/>
          <w:szCs w:val="32"/>
          <w:highlight w:val="none"/>
          <w:shd w:val="clear" w:color="auto" w:fill="auto"/>
        </w:rPr>
        <w:t>内窥镜</w:t>
      </w:r>
      <w:r>
        <w:rPr>
          <w:rFonts w:hint="eastAsia"/>
          <w:color w:val="auto"/>
          <w:spacing w:val="-4"/>
          <w:szCs w:val="32"/>
          <w:highlight w:val="none"/>
          <w:shd w:val="clear" w:color="auto" w:fill="auto"/>
        </w:rPr>
        <w:t>摄像系统/图像处理器集成的一体机、嵌入冷光源的内窥镜等</w:t>
      </w:r>
      <w:r>
        <w:rPr>
          <w:rFonts w:hint="eastAsia"/>
          <w:color w:val="auto"/>
          <w:spacing w:val="-4"/>
          <w:szCs w:val="32"/>
          <w:highlight w:val="none"/>
          <w:shd w:val="clear" w:color="auto" w:fill="auto"/>
          <w:lang w:eastAsia="zh-CN"/>
        </w:rPr>
        <w:t>产品</w:t>
      </w:r>
      <w:r>
        <w:rPr>
          <w:rFonts w:hint="eastAsia"/>
          <w:color w:val="auto"/>
          <w:spacing w:val="-4"/>
          <w:szCs w:val="32"/>
          <w:highlight w:val="none"/>
          <w:shd w:val="clear" w:color="auto" w:fill="auto"/>
        </w:rPr>
        <w:t>，</w:t>
      </w:r>
      <w:r>
        <w:rPr>
          <w:color w:val="auto"/>
          <w:spacing w:val="-4"/>
          <w:szCs w:val="32"/>
          <w:highlight w:val="none"/>
          <w:shd w:val="clear" w:color="auto" w:fill="auto"/>
        </w:rPr>
        <w:t>冷光源</w:t>
      </w:r>
      <w:r>
        <w:rPr>
          <w:rFonts w:hint="eastAsia"/>
          <w:color w:val="auto"/>
          <w:spacing w:val="-4"/>
          <w:szCs w:val="32"/>
          <w:highlight w:val="none"/>
          <w:shd w:val="clear" w:color="auto" w:fill="auto"/>
        </w:rPr>
        <w:t>部分的要求</w:t>
      </w:r>
      <w:r>
        <w:rPr>
          <w:rFonts w:hint="eastAsia"/>
          <w:color w:val="auto"/>
          <w:spacing w:val="-4"/>
          <w:szCs w:val="32"/>
          <w:highlight w:val="none"/>
          <w:shd w:val="clear" w:color="auto" w:fill="auto"/>
          <w:lang w:eastAsia="zh-CN"/>
        </w:rPr>
        <w:t>适用</w:t>
      </w:r>
      <w:r>
        <w:rPr>
          <w:color w:val="auto"/>
          <w:spacing w:val="-4"/>
          <w:szCs w:val="32"/>
          <w:highlight w:val="none"/>
          <w:shd w:val="clear" w:color="auto" w:fill="auto"/>
        </w:rPr>
        <w:t>本指导原则</w:t>
      </w:r>
      <w:r>
        <w:rPr>
          <w:rFonts w:hint="eastAsia"/>
          <w:color w:val="auto"/>
          <w:spacing w:val="-4"/>
          <w:szCs w:val="32"/>
          <w:highlight w:val="none"/>
          <w:shd w:val="clear" w:color="auto" w:fill="auto"/>
        </w:rPr>
        <w:t>。</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本指导原则范围不包含非用于内窥镜检查和手术中作为内窥镜功能供给装置的冷光源，但在审查这些设备时也可参考本指导原则部分内容。</w:t>
      </w:r>
      <w:r>
        <w:rPr>
          <w:rFonts w:hint="eastAsia" w:eastAsia="仿宋_GB2312"/>
          <w:color w:val="auto"/>
          <w:spacing w:val="-4"/>
          <w:sz w:val="32"/>
          <w:szCs w:val="32"/>
          <w:highlight w:val="none"/>
        </w:rPr>
        <w:t>不包含胶囊内窥镜中的光源。</w:t>
      </w:r>
    </w:p>
    <w:p>
      <w:pPr>
        <w:keepNext w:val="0"/>
        <w:keepLines w:val="0"/>
        <w:pageBreakBefore w:val="0"/>
        <w:kinsoku/>
        <w:wordWrap/>
        <w:overflowPunct/>
        <w:topLinePunct w:val="0"/>
        <w:bidi w:val="0"/>
        <w:adjustRightInd/>
        <w:spacing w:line="560" w:lineRule="exact"/>
        <w:ind w:right="-102" w:rightChars="-32" w:firstLine="640" w:firstLineChars="200"/>
        <w:textAlignment w:val="auto"/>
        <w:outlineLvl w:val="0"/>
        <w:rPr>
          <w:rFonts w:eastAsia="黑体"/>
          <w:color w:val="auto"/>
          <w:szCs w:val="32"/>
          <w:highlight w:val="none"/>
        </w:rPr>
      </w:pPr>
      <w:bookmarkStart w:id="6" w:name="_Toc4183"/>
      <w:bookmarkStart w:id="7" w:name="_Toc30548"/>
      <w:bookmarkStart w:id="8" w:name="_Toc5777"/>
      <w:r>
        <w:rPr>
          <w:rFonts w:eastAsia="黑体"/>
          <w:color w:val="auto"/>
          <w:szCs w:val="32"/>
          <w:highlight w:val="none"/>
        </w:rPr>
        <w:t>二、注册审查要点</w:t>
      </w:r>
    </w:p>
    <w:p>
      <w:pPr>
        <w:keepNext w:val="0"/>
        <w:keepLines w:val="0"/>
        <w:pageBreakBefore w:val="0"/>
        <w:numPr>
          <w:ilvl w:val="0"/>
          <w:numId w:val="3"/>
        </w:numPr>
        <w:kinsoku/>
        <w:wordWrap/>
        <w:overflowPunct/>
        <w:topLinePunct w:val="0"/>
        <w:bidi w:val="0"/>
        <w:adjustRightInd/>
        <w:spacing w:line="560" w:lineRule="exact"/>
        <w:ind w:right="-102" w:rightChars="-32" w:firstLine="640" w:firstLineChars="200"/>
        <w:textAlignment w:val="auto"/>
        <w:outlineLvl w:val="1"/>
        <w:rPr>
          <w:rFonts w:eastAsia="楷体_GB2312"/>
          <w:color w:val="auto"/>
          <w:szCs w:val="32"/>
          <w:highlight w:val="none"/>
        </w:rPr>
      </w:pPr>
      <w:r>
        <w:rPr>
          <w:rFonts w:eastAsia="楷体_GB2312"/>
          <w:color w:val="auto"/>
          <w:szCs w:val="32"/>
          <w:highlight w:val="none"/>
        </w:rPr>
        <w:t>监管信息</w:t>
      </w:r>
      <w:bookmarkEnd w:id="6"/>
      <w:bookmarkEnd w:id="7"/>
      <w:bookmarkEnd w:id="8"/>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bookmarkStart w:id="9" w:name="_Toc4938"/>
      <w:bookmarkStart w:id="10" w:name="_Toc14554"/>
      <w:bookmarkStart w:id="11" w:name="_Toc31679"/>
      <w:r>
        <w:rPr>
          <w:bCs/>
          <w:color w:val="auto"/>
          <w:szCs w:val="32"/>
          <w:highlight w:val="none"/>
        </w:rPr>
        <w:t>1.产品名称</w:t>
      </w:r>
      <w:bookmarkEnd w:id="9"/>
      <w:bookmarkEnd w:id="10"/>
      <w:bookmarkEnd w:id="11"/>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bookmarkStart w:id="12" w:name="_Toc21934"/>
      <w:bookmarkStart w:id="13" w:name="_Toc25111"/>
      <w:bookmarkStart w:id="14" w:name="_Toc2168"/>
      <w:r>
        <w:rPr>
          <w:rFonts w:hint="eastAsia"/>
          <w:bCs/>
          <w:color w:val="auto"/>
          <w:szCs w:val="32"/>
          <w:highlight w:val="none"/>
        </w:rPr>
        <w:t>医用内窥镜冷光源产品的命名应符合《医疗器械通用名称命名规则》。建议用通用名称：医用内窥镜冷光源</w:t>
      </w:r>
      <w:r>
        <w:rPr>
          <w:rFonts w:hint="eastAsia"/>
          <w:bCs/>
          <w:color w:val="auto"/>
          <w:szCs w:val="32"/>
          <w:highlight w:val="none"/>
          <w:lang w:eastAsia="zh-CN"/>
        </w:rPr>
        <w:t>、医用内窥镜荧光冷光源</w:t>
      </w:r>
      <w:r>
        <w:rPr>
          <w:rFonts w:hint="eastAsia"/>
          <w:bCs/>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r>
        <w:rPr>
          <w:bCs/>
          <w:color w:val="auto"/>
          <w:szCs w:val="32"/>
          <w:highlight w:val="none"/>
        </w:rPr>
        <w:t>2.分类编码和管理类别</w:t>
      </w:r>
      <w:bookmarkEnd w:id="12"/>
      <w:bookmarkEnd w:id="13"/>
      <w:bookmarkEnd w:id="14"/>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医用内窥镜冷光源产品</w:t>
      </w:r>
      <w:r>
        <w:rPr>
          <w:color w:val="auto"/>
          <w:szCs w:val="32"/>
          <w:highlight w:val="none"/>
        </w:rPr>
        <w:t>按第二类医疗器械管理，分类编码为</w:t>
      </w:r>
      <w:r>
        <w:rPr>
          <w:rFonts w:hint="eastAsia"/>
          <w:color w:val="auto"/>
          <w:szCs w:val="32"/>
          <w:highlight w:val="none"/>
        </w:rPr>
        <w:t>06-15-01</w:t>
      </w:r>
      <w:r>
        <w:rPr>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bookmarkStart w:id="15" w:name="_Toc30481"/>
      <w:bookmarkStart w:id="16" w:name="_Toc2420"/>
      <w:bookmarkStart w:id="17" w:name="_Toc27398"/>
      <w:bookmarkStart w:id="18" w:name="_Toc434231392"/>
      <w:r>
        <w:rPr>
          <w:bCs/>
          <w:color w:val="auto"/>
          <w:szCs w:val="32"/>
          <w:highlight w:val="none"/>
        </w:rPr>
        <w:t>3.注册单元划分</w:t>
      </w:r>
      <w:bookmarkEnd w:id="15"/>
      <w:bookmarkEnd w:id="16"/>
      <w:bookmarkEnd w:id="17"/>
    </w:p>
    <w:p>
      <w:pPr>
        <w:keepNext w:val="0"/>
        <w:keepLines w:val="0"/>
        <w:pageBreakBefore w:val="0"/>
        <w:kinsoku/>
        <w:wordWrap/>
        <w:overflowPunct/>
        <w:topLinePunct w:val="0"/>
        <w:bidi w:val="0"/>
        <w:adjustRightInd/>
        <w:spacing w:line="560" w:lineRule="exact"/>
        <w:ind w:firstLine="624" w:firstLineChars="200"/>
        <w:textAlignment w:val="auto"/>
        <w:rPr>
          <w:rFonts w:hint="eastAsia"/>
          <w:color w:val="auto"/>
          <w:spacing w:val="-4"/>
          <w:szCs w:val="32"/>
          <w:highlight w:val="none"/>
        </w:rPr>
      </w:pPr>
      <w:bookmarkStart w:id="19" w:name="_Toc28669"/>
      <w:r>
        <w:rPr>
          <w:rFonts w:hint="eastAsia"/>
          <w:color w:val="auto"/>
          <w:spacing w:val="-4"/>
          <w:szCs w:val="32"/>
          <w:highlight w:val="none"/>
        </w:rPr>
        <w:t>注册单元划分应符合《医疗器械注册单元划分指导原则》的要求，原则上以产品的技术原理、结构组成、性能指标和适用范围为划分依据。</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医用内窥镜冷光源注册单元划分主要从产品的技术结构和性能指标来考虑。</w:t>
      </w:r>
      <w:r>
        <w:rPr>
          <w:rFonts w:hint="eastAsia"/>
          <w:color w:val="auto"/>
          <w:spacing w:val="-4"/>
          <w:szCs w:val="32"/>
          <w:highlight w:val="none"/>
          <w:lang w:eastAsia="zh-CN"/>
        </w:rPr>
        <w:t>原则上，</w:t>
      </w:r>
      <w:r>
        <w:rPr>
          <w:rFonts w:hint="eastAsia"/>
          <w:color w:val="auto"/>
          <w:szCs w:val="32"/>
          <w:highlight w:val="none"/>
        </w:rPr>
        <w:t>同一注册单元产品的关键部件应相同。</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Cs w:val="32"/>
          <w:highlight w:val="none"/>
        </w:rPr>
        <w:t>（1）</w:t>
      </w:r>
      <w:r>
        <w:rPr>
          <w:color w:val="auto"/>
          <w:spacing w:val="-4"/>
          <w:szCs w:val="32"/>
          <w:highlight w:val="none"/>
        </w:rPr>
        <w:t>技术结构</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产品的技术结构不同，应划分为不同的注册单元。</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 xml:space="preserve">例如： </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按携带性可分为：便携式和台式。</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Cs w:val="32"/>
          <w:highlight w:val="none"/>
        </w:rPr>
        <w:t>（2）光源类型</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医用内窥镜冷光源因所用照明光源有卤素灯、氙灯、LED灯、短弧灯等多种，不同照明光源的产品应作为不同注册单元分别申报并检测。</w:t>
      </w:r>
    </w:p>
    <w:p>
      <w:pPr>
        <w:keepNext w:val="0"/>
        <w:keepLines w:val="0"/>
        <w:pageBreakBefore w:val="0"/>
        <w:numPr>
          <w:ilvl w:val="0"/>
          <w:numId w:val="4"/>
        </w:numPr>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Cs w:val="32"/>
          <w:highlight w:val="none"/>
        </w:rPr>
        <w:t>匹配内窥镜类型</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Cs w:val="32"/>
          <w:highlight w:val="none"/>
          <w:lang w:eastAsia="zh-CN"/>
        </w:rPr>
        <w:t>分别只</w:t>
      </w:r>
      <w:r>
        <w:rPr>
          <w:rFonts w:hint="eastAsia"/>
          <w:color w:val="auto"/>
          <w:spacing w:val="-4"/>
          <w:szCs w:val="32"/>
          <w:highlight w:val="none"/>
        </w:rPr>
        <w:t>匹配光学内窥镜、电子内窥镜的</w:t>
      </w:r>
      <w:r>
        <w:rPr>
          <w:color w:val="auto"/>
          <w:spacing w:val="-4"/>
          <w:szCs w:val="32"/>
          <w:highlight w:val="none"/>
        </w:rPr>
        <w:t>医用内窥镜冷光源</w:t>
      </w:r>
      <w:r>
        <w:rPr>
          <w:rFonts w:hint="eastAsia"/>
          <w:color w:val="auto"/>
          <w:spacing w:val="-4"/>
          <w:szCs w:val="32"/>
          <w:highlight w:val="none"/>
          <w:lang w:eastAsia="zh-CN"/>
        </w:rPr>
        <w:t>，如结构差异较大，</w:t>
      </w:r>
      <w:r>
        <w:rPr>
          <w:rFonts w:hint="eastAsia"/>
          <w:color w:val="auto"/>
          <w:spacing w:val="-4"/>
          <w:szCs w:val="32"/>
          <w:highlight w:val="none"/>
        </w:rPr>
        <w:t>应作为</w:t>
      </w:r>
      <w:r>
        <w:rPr>
          <w:color w:val="auto"/>
          <w:spacing w:val="-4"/>
          <w:szCs w:val="32"/>
          <w:highlight w:val="none"/>
        </w:rPr>
        <w:t>不同注册单元分别申报</w:t>
      </w:r>
      <w:r>
        <w:rPr>
          <w:rFonts w:hint="eastAsia"/>
          <w:color w:val="auto"/>
          <w:spacing w:val="-4"/>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r>
        <w:rPr>
          <w:bCs/>
          <w:color w:val="auto"/>
          <w:szCs w:val="32"/>
          <w:highlight w:val="none"/>
        </w:rPr>
        <w:t>4.上市证明文件</w:t>
      </w:r>
      <w:bookmarkEnd w:id="19"/>
      <w:r>
        <w:rPr>
          <w:bCs/>
          <w:color w:val="auto"/>
          <w:szCs w:val="32"/>
          <w:highlight w:val="none"/>
        </w:rPr>
        <w:t>（进口产品）</w:t>
      </w:r>
    </w:p>
    <w:p>
      <w:pPr>
        <w:keepNext w:val="0"/>
        <w:keepLines w:val="0"/>
        <w:pageBreakBefore w:val="0"/>
        <w:kinsoku/>
        <w:wordWrap/>
        <w:overflowPunct/>
        <w:topLinePunct w:val="0"/>
        <w:bidi w:val="0"/>
        <w:adjustRightInd/>
        <w:spacing w:line="560" w:lineRule="exact"/>
        <w:ind w:firstLine="640" w:firstLineChars="200"/>
        <w:textAlignment w:val="auto"/>
        <w:rPr>
          <w:color w:val="auto"/>
          <w:kern w:val="0"/>
          <w:szCs w:val="32"/>
          <w:highlight w:val="none"/>
        </w:rPr>
      </w:pPr>
      <w:r>
        <w:rPr>
          <w:color w:val="auto"/>
          <w:szCs w:val="32"/>
          <w:highlight w:val="none"/>
        </w:rPr>
        <w:t>进口产品应证明</w:t>
      </w:r>
      <w:r>
        <w:rPr>
          <w:rFonts w:hint="eastAsia"/>
          <w:color w:val="auto"/>
          <w:szCs w:val="32"/>
          <w:highlight w:val="none"/>
        </w:rPr>
        <w:t>产品</w:t>
      </w:r>
      <w:r>
        <w:rPr>
          <w:color w:val="auto"/>
          <w:szCs w:val="32"/>
          <w:highlight w:val="none"/>
        </w:rPr>
        <w:t>已在境外上市。例如在EC符合性声明、CFG等批件中体现</w:t>
      </w:r>
      <w:r>
        <w:rPr>
          <w:rFonts w:hint="eastAsia"/>
          <w:color w:val="auto"/>
          <w:szCs w:val="32"/>
          <w:highlight w:val="none"/>
        </w:rPr>
        <w:t>产品</w:t>
      </w:r>
      <w:r>
        <w:rPr>
          <w:color w:val="auto"/>
          <w:szCs w:val="32"/>
          <w:highlight w:val="none"/>
        </w:rPr>
        <w:t>的具体信息。</w:t>
      </w:r>
    </w:p>
    <w:bookmarkEnd w:id="18"/>
    <w:p>
      <w:pPr>
        <w:keepNext w:val="0"/>
        <w:keepLines w:val="0"/>
        <w:pageBreakBefore w:val="0"/>
        <w:numPr>
          <w:ilvl w:val="0"/>
          <w:numId w:val="3"/>
        </w:numPr>
        <w:kinsoku/>
        <w:wordWrap/>
        <w:overflowPunct/>
        <w:topLinePunct w:val="0"/>
        <w:bidi w:val="0"/>
        <w:adjustRightInd/>
        <w:spacing w:line="560" w:lineRule="exact"/>
        <w:ind w:right="-102" w:rightChars="-32" w:firstLine="640" w:firstLineChars="200"/>
        <w:textAlignment w:val="auto"/>
        <w:outlineLvl w:val="1"/>
        <w:rPr>
          <w:rFonts w:eastAsia="楷体_GB2312"/>
          <w:color w:val="auto"/>
          <w:szCs w:val="32"/>
          <w:highlight w:val="none"/>
        </w:rPr>
      </w:pPr>
      <w:bookmarkStart w:id="20" w:name="_Toc6838"/>
      <w:bookmarkStart w:id="21" w:name="_Toc7858"/>
      <w:bookmarkStart w:id="22" w:name="_Toc1256"/>
      <w:bookmarkStart w:id="23" w:name="_Toc306265288"/>
      <w:bookmarkStart w:id="24" w:name="_Toc434231393"/>
      <w:r>
        <w:rPr>
          <w:rFonts w:eastAsia="楷体_GB2312"/>
          <w:color w:val="auto"/>
          <w:szCs w:val="32"/>
          <w:highlight w:val="none"/>
        </w:rPr>
        <w:t>综述资料</w:t>
      </w:r>
      <w:bookmarkEnd w:id="20"/>
      <w:bookmarkEnd w:id="21"/>
      <w:bookmarkEnd w:id="22"/>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bookmarkStart w:id="25" w:name="_Toc25328"/>
      <w:r>
        <w:rPr>
          <w:bCs/>
          <w:color w:val="auto"/>
          <w:szCs w:val="32"/>
          <w:highlight w:val="none"/>
        </w:rPr>
        <w:t>1.概述</w:t>
      </w:r>
    </w:p>
    <w:bookmarkEnd w:id="25"/>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rPr>
      </w:pPr>
      <w:bookmarkStart w:id="26" w:name="_Toc20753"/>
      <w:bookmarkStart w:id="27" w:name="_Toc18098"/>
      <w:bookmarkStart w:id="28" w:name="_Toc17174"/>
      <w:r>
        <w:rPr>
          <w:rFonts w:hint="eastAsia"/>
          <w:color w:val="auto"/>
          <w:szCs w:val="32"/>
          <w:highlight w:val="none"/>
        </w:rPr>
        <w:t>描述申报产品的通用名称及其确定依据，描述产品的管理类别、分类编码。</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rPr>
      </w:pPr>
      <w:r>
        <w:rPr>
          <w:rFonts w:hint="eastAsia"/>
          <w:color w:val="auto"/>
          <w:szCs w:val="32"/>
          <w:highlight w:val="none"/>
        </w:rPr>
        <w:t>如适用，描述有关申报产品的背景信息概述或特别细节，如：申报产品的历史概述、历次提交的信息，与其他经批准上市产品的关系等。</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r>
        <w:rPr>
          <w:bCs/>
          <w:color w:val="auto"/>
          <w:szCs w:val="32"/>
          <w:highlight w:val="none"/>
        </w:rPr>
        <w:t>2.产品描述</w:t>
      </w:r>
      <w:bookmarkEnd w:id="23"/>
      <w:bookmarkEnd w:id="24"/>
      <w:bookmarkEnd w:id="26"/>
      <w:bookmarkEnd w:id="27"/>
      <w:bookmarkEnd w:id="28"/>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rPr>
      </w:pPr>
      <w:r>
        <w:rPr>
          <w:rFonts w:hint="eastAsia"/>
          <w:color w:val="auto"/>
          <w:szCs w:val="32"/>
          <w:highlight w:val="none"/>
        </w:rPr>
        <w:t>（1）描述产品的结构组成。提供产品主机、</w:t>
      </w:r>
      <w:r>
        <w:rPr>
          <w:rFonts w:hint="eastAsia"/>
          <w:color w:val="auto"/>
          <w:szCs w:val="32"/>
          <w:highlight w:val="none"/>
          <w:lang w:eastAsia="zh-CN"/>
        </w:rPr>
        <w:t>电源线、连接线（如有）、导光束（如有）</w:t>
      </w:r>
      <w:r>
        <w:rPr>
          <w:rFonts w:hint="eastAsia"/>
          <w:color w:val="auto"/>
          <w:szCs w:val="32"/>
          <w:highlight w:val="none"/>
        </w:rPr>
        <w:t>的实物图、图示和连接示意图，结合实物图、图示和连接示意图，对产品的结构组成进行详尽描述。描述的内容包括主机的结构、尺寸、</w:t>
      </w:r>
      <w:r>
        <w:rPr>
          <w:rFonts w:hint="eastAsia"/>
          <w:color w:val="auto"/>
          <w:szCs w:val="32"/>
          <w:highlight w:val="none"/>
          <w:lang w:eastAsia="zh-CN"/>
        </w:rPr>
        <w:t>外壳</w:t>
      </w:r>
      <w:r>
        <w:rPr>
          <w:rFonts w:hint="eastAsia"/>
          <w:color w:val="auto"/>
          <w:szCs w:val="32"/>
          <w:highlight w:val="none"/>
        </w:rPr>
        <w:t>材料、</w:t>
      </w:r>
      <w:r>
        <w:rPr>
          <w:rFonts w:hint="eastAsia"/>
          <w:color w:val="auto"/>
          <w:szCs w:val="32"/>
          <w:highlight w:val="none"/>
          <w:lang w:eastAsia="zh-CN"/>
        </w:rPr>
        <w:t>接口</w:t>
      </w:r>
      <w:r>
        <w:rPr>
          <w:rFonts w:hint="eastAsia"/>
          <w:color w:val="auto"/>
          <w:szCs w:val="32"/>
          <w:highlight w:val="none"/>
        </w:rPr>
        <w:t>等。</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w:t>
      </w:r>
      <w:r>
        <w:rPr>
          <w:rFonts w:hint="eastAsia"/>
          <w:color w:val="auto"/>
          <w:szCs w:val="32"/>
          <w:highlight w:val="none"/>
          <w:lang w:val="en-US" w:eastAsia="zh-CN"/>
        </w:rPr>
        <w:t>2</w:t>
      </w:r>
      <w:r>
        <w:rPr>
          <w:rFonts w:hint="eastAsia"/>
          <w:color w:val="auto"/>
          <w:szCs w:val="32"/>
          <w:highlight w:val="none"/>
        </w:rPr>
        <w:t>）结合用户界面，对产品的功能、性能进行描述。</w:t>
      </w:r>
    </w:p>
    <w:p>
      <w:pPr>
        <w:keepNext w:val="0"/>
        <w:keepLines w:val="0"/>
        <w:pageBreakBefore w:val="0"/>
        <w:kinsoku/>
        <w:wordWrap/>
        <w:overflowPunct/>
        <w:topLinePunct w:val="0"/>
        <w:bidi w:val="0"/>
        <w:adjustRightInd/>
        <w:spacing w:line="560" w:lineRule="exact"/>
        <w:ind w:firstLine="640" w:firstLineChars="200"/>
        <w:textAlignment w:val="auto"/>
        <w:rPr>
          <w:rFonts w:hint="eastAsia" w:eastAsia="仿宋_GB2312"/>
          <w:color w:val="auto"/>
          <w:szCs w:val="32"/>
          <w:highlight w:val="none"/>
          <w:lang w:eastAsia="zh-CN"/>
        </w:rPr>
      </w:pPr>
      <w:r>
        <w:rPr>
          <w:rFonts w:hint="eastAsia"/>
          <w:color w:val="auto"/>
          <w:szCs w:val="32"/>
          <w:highlight w:val="none"/>
        </w:rPr>
        <w:t>（</w:t>
      </w:r>
      <w:r>
        <w:rPr>
          <w:rFonts w:hint="eastAsia"/>
          <w:color w:val="auto"/>
          <w:szCs w:val="32"/>
          <w:highlight w:val="none"/>
          <w:lang w:val="en-US" w:eastAsia="zh-CN"/>
        </w:rPr>
        <w:t>3</w:t>
      </w:r>
      <w:r>
        <w:rPr>
          <w:rFonts w:hint="eastAsia"/>
          <w:color w:val="auto"/>
          <w:szCs w:val="32"/>
          <w:highlight w:val="none"/>
        </w:rPr>
        <w:t>）提供产品的</w:t>
      </w:r>
      <w:r>
        <w:rPr>
          <w:rFonts w:hint="eastAsia"/>
          <w:color w:val="auto"/>
          <w:szCs w:val="32"/>
          <w:highlight w:val="none"/>
          <w:lang w:eastAsia="zh-CN"/>
        </w:rPr>
        <w:t>电路</w:t>
      </w:r>
      <w:r>
        <w:rPr>
          <w:rFonts w:hint="eastAsia"/>
          <w:color w:val="auto"/>
          <w:szCs w:val="32"/>
          <w:highlight w:val="none"/>
        </w:rPr>
        <w:t>原理图</w:t>
      </w:r>
      <w:r>
        <w:rPr>
          <w:rFonts w:hint="eastAsia"/>
          <w:color w:val="auto"/>
          <w:szCs w:val="32"/>
          <w:highlight w:val="none"/>
          <w:lang w:eastAsia="zh-CN"/>
        </w:rPr>
        <w:t>、光路原理图、气路原理图（如有）。</w:t>
      </w:r>
      <w:r>
        <w:rPr>
          <w:rFonts w:hint="eastAsia"/>
          <w:color w:val="auto"/>
          <w:szCs w:val="32"/>
          <w:highlight w:val="none"/>
        </w:rPr>
        <w:t>应能体现各个关键部件，包括光源组件、电源组件、控制电路和光学部件等。</w:t>
      </w:r>
      <w:r>
        <w:rPr>
          <w:rFonts w:hint="eastAsia"/>
          <w:color w:val="auto"/>
          <w:spacing w:val="-4"/>
          <w:szCs w:val="32"/>
          <w:highlight w:val="none"/>
        </w:rPr>
        <w:t>明确光源类型，如LED灯、氙灯、卤素灯或短弧灯，是否含导光束等。</w:t>
      </w:r>
      <w:r>
        <w:rPr>
          <w:rFonts w:hint="eastAsia"/>
          <w:color w:val="auto"/>
          <w:spacing w:val="-4"/>
          <w:szCs w:val="32"/>
          <w:highlight w:val="none"/>
          <w:lang w:eastAsia="zh-CN"/>
        </w:rPr>
        <w:t>如主机中包括多个电源组件，应分别描述光源类型。</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rPr>
        <w:t>结合</w:t>
      </w:r>
      <w:r>
        <w:rPr>
          <w:rFonts w:hint="eastAsia"/>
          <w:color w:val="auto"/>
          <w:szCs w:val="32"/>
          <w:highlight w:val="none"/>
          <w:lang w:eastAsia="zh-CN"/>
        </w:rPr>
        <w:t>电路</w:t>
      </w:r>
      <w:r>
        <w:rPr>
          <w:rFonts w:hint="eastAsia"/>
          <w:color w:val="auto"/>
          <w:szCs w:val="32"/>
          <w:highlight w:val="none"/>
        </w:rPr>
        <w:t>原理图</w:t>
      </w:r>
      <w:r>
        <w:rPr>
          <w:rFonts w:hint="eastAsia"/>
          <w:color w:val="auto"/>
          <w:szCs w:val="32"/>
          <w:highlight w:val="none"/>
          <w:lang w:eastAsia="zh-CN"/>
        </w:rPr>
        <w:t>、光路原理图</w:t>
      </w:r>
      <w:r>
        <w:rPr>
          <w:rFonts w:hint="eastAsia"/>
          <w:color w:val="auto"/>
          <w:szCs w:val="32"/>
          <w:highlight w:val="none"/>
        </w:rPr>
        <w:t>，详细说</w:t>
      </w:r>
      <w:r>
        <w:rPr>
          <w:rFonts w:hint="eastAsia"/>
          <w:color w:val="auto"/>
          <w:szCs w:val="32"/>
          <w:highlight w:val="none"/>
          <w:lang w:eastAsia="zh-CN"/>
        </w:rPr>
        <w:t>明模式切换、亮度调节、焦距（如有）调节、冷却、超温保护的原理。</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lang w:eastAsia="zh-CN"/>
        </w:rPr>
        <w:t>结合电路原理图、气路原理图，详细说明气路控制、气流量控制的原理。</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说明</w:t>
      </w:r>
      <w:r>
        <w:rPr>
          <w:rFonts w:hint="eastAsia"/>
          <w:color w:val="auto"/>
          <w:szCs w:val="32"/>
          <w:highlight w:val="none"/>
          <w:lang w:eastAsia="zh-CN"/>
        </w:rPr>
        <w:t>各部件间</w:t>
      </w:r>
      <w:r>
        <w:rPr>
          <w:color w:val="auto"/>
          <w:szCs w:val="32"/>
          <w:highlight w:val="none"/>
        </w:rPr>
        <w:t>连接或组装关系。</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bookmarkStart w:id="29" w:name="_Toc14684"/>
      <w:bookmarkStart w:id="30" w:name="_Toc20552"/>
      <w:bookmarkStart w:id="31" w:name="_Toc29725"/>
      <w:r>
        <w:rPr>
          <w:bCs/>
          <w:color w:val="auto"/>
          <w:szCs w:val="32"/>
          <w:highlight w:val="none"/>
        </w:rPr>
        <w:t>3.适用范围</w:t>
      </w:r>
      <w:bookmarkEnd w:id="29"/>
      <w:bookmarkEnd w:id="30"/>
      <w:bookmarkEnd w:id="31"/>
    </w:p>
    <w:p>
      <w:pPr>
        <w:keepNext w:val="0"/>
        <w:keepLines w:val="0"/>
        <w:pageBreakBefore w:val="0"/>
        <w:widowControl/>
        <w:kinsoku/>
        <w:wordWrap/>
        <w:overflowPunct/>
        <w:topLinePunct w:val="0"/>
        <w:bidi w:val="0"/>
        <w:adjustRightInd/>
        <w:spacing w:line="560" w:lineRule="exact"/>
        <w:ind w:firstLine="624" w:firstLineChars="200"/>
        <w:textAlignment w:val="auto"/>
        <w:rPr>
          <w:color w:val="auto"/>
          <w:spacing w:val="-4"/>
          <w:szCs w:val="32"/>
          <w:highlight w:val="none"/>
        </w:rPr>
      </w:pPr>
      <w:r>
        <w:rPr>
          <w:color w:val="auto"/>
          <w:spacing w:val="-4"/>
          <w:szCs w:val="32"/>
          <w:highlight w:val="none"/>
        </w:rPr>
        <w:t>产品具体适用范围应与申报产品功能、临床应用范围相一致。医用内窥镜冷光源的预期用途一般可限定为：</w:t>
      </w:r>
      <w:r>
        <w:rPr>
          <w:rFonts w:hint="eastAsia"/>
          <w:color w:val="auto"/>
          <w:spacing w:val="-4"/>
          <w:szCs w:val="32"/>
          <w:highlight w:val="none"/>
        </w:rPr>
        <w:t>在医疗机构中使用，用于内窥镜诊断和/或治疗/手术中，为内窥镜观察人体体腔的视场区域提供观察用照明</w:t>
      </w:r>
      <w:r>
        <w:rPr>
          <w:color w:val="auto"/>
          <w:spacing w:val="-4"/>
          <w:szCs w:val="32"/>
          <w:highlight w:val="none"/>
        </w:rPr>
        <w:t>。</w:t>
      </w:r>
      <w:r>
        <w:rPr>
          <w:rFonts w:hint="eastAsia"/>
          <w:color w:val="auto"/>
          <w:spacing w:val="-4"/>
          <w:szCs w:val="32"/>
          <w:highlight w:val="none"/>
        </w:rPr>
        <w:t>如配合荧光剂适用，应明确配合使用的荧光剂及其批准上市的适用部位。</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32" w:name="OLE_LINK4"/>
      <w:r>
        <w:rPr>
          <w:rFonts w:hint="eastAsia"/>
          <w:bCs/>
          <w:color w:val="auto"/>
          <w:szCs w:val="32"/>
          <w:highlight w:val="none"/>
          <w:lang w:val="en-US" w:eastAsia="zh-CN"/>
        </w:rPr>
        <w:t>4.</w:t>
      </w:r>
      <w:r>
        <w:rPr>
          <w:bCs/>
          <w:color w:val="auto"/>
          <w:szCs w:val="32"/>
          <w:highlight w:val="none"/>
        </w:rPr>
        <w:t>其他</w:t>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r>
        <w:rPr>
          <w:rFonts w:hint="eastAsia"/>
          <w:bCs/>
          <w:color w:val="auto"/>
          <w:szCs w:val="32"/>
          <w:highlight w:val="none"/>
        </w:rPr>
        <w:t>应</w:t>
      </w:r>
      <w:r>
        <w:rPr>
          <w:bCs/>
          <w:color w:val="auto"/>
          <w:szCs w:val="32"/>
          <w:highlight w:val="none"/>
        </w:rPr>
        <w:t>明确与其配合使用的</w:t>
      </w:r>
      <w:r>
        <w:rPr>
          <w:rFonts w:hint="eastAsia"/>
          <w:bCs/>
          <w:color w:val="auto"/>
          <w:szCs w:val="32"/>
          <w:highlight w:val="none"/>
        </w:rPr>
        <w:t>内窥镜、图像处理器/摄像系统</w:t>
      </w:r>
      <w:r>
        <w:rPr>
          <w:bCs/>
          <w:color w:val="auto"/>
          <w:szCs w:val="32"/>
          <w:highlight w:val="none"/>
        </w:rPr>
        <w:t>及其他附件等的注册证信息</w:t>
      </w:r>
      <w:r>
        <w:rPr>
          <w:rFonts w:hint="eastAsia"/>
          <w:bCs/>
          <w:color w:val="auto"/>
          <w:szCs w:val="32"/>
          <w:highlight w:val="none"/>
        </w:rPr>
        <w:t>或接口要求。</w:t>
      </w:r>
    </w:p>
    <w:bookmarkEnd w:id="32"/>
    <w:p>
      <w:pPr>
        <w:keepNext w:val="0"/>
        <w:keepLines w:val="0"/>
        <w:pageBreakBefore w:val="0"/>
        <w:numPr>
          <w:ilvl w:val="0"/>
          <w:numId w:val="3"/>
        </w:numPr>
        <w:kinsoku/>
        <w:wordWrap/>
        <w:overflowPunct/>
        <w:topLinePunct w:val="0"/>
        <w:bidi w:val="0"/>
        <w:adjustRightInd/>
        <w:spacing w:line="560" w:lineRule="exact"/>
        <w:ind w:right="-102" w:rightChars="-32" w:firstLine="640" w:firstLineChars="200"/>
        <w:textAlignment w:val="auto"/>
        <w:outlineLvl w:val="1"/>
        <w:rPr>
          <w:rFonts w:eastAsia="楷体_GB2312"/>
          <w:color w:val="auto"/>
          <w:szCs w:val="32"/>
          <w:highlight w:val="none"/>
        </w:rPr>
      </w:pPr>
      <w:bookmarkStart w:id="33" w:name="_Toc7414"/>
      <w:bookmarkStart w:id="34" w:name="_Toc4379"/>
      <w:bookmarkStart w:id="35" w:name="_Toc30004"/>
      <w:r>
        <w:rPr>
          <w:rFonts w:eastAsia="楷体_GB2312"/>
          <w:color w:val="auto"/>
          <w:szCs w:val="32"/>
          <w:highlight w:val="none"/>
        </w:rPr>
        <w:t>非临床资料</w:t>
      </w:r>
      <w:bookmarkEnd w:id="33"/>
      <w:bookmarkEnd w:id="34"/>
      <w:bookmarkEnd w:id="35"/>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36" w:name="_Toc12750"/>
      <w:bookmarkStart w:id="37" w:name="_Toc9428"/>
      <w:bookmarkStart w:id="38" w:name="_Toc17507"/>
      <w:r>
        <w:rPr>
          <w:color w:val="auto"/>
          <w:szCs w:val="32"/>
          <w:highlight w:val="none"/>
        </w:rPr>
        <w:t>1.</w:t>
      </w:r>
      <w:r>
        <w:rPr>
          <w:bCs/>
          <w:color w:val="auto"/>
          <w:szCs w:val="32"/>
          <w:highlight w:val="none"/>
        </w:rPr>
        <w:t>产品风险管理资料</w:t>
      </w:r>
      <w:bookmarkEnd w:id="36"/>
      <w:bookmarkEnd w:id="37"/>
      <w:bookmarkEnd w:id="38"/>
    </w:p>
    <w:p>
      <w:pPr>
        <w:keepNext w:val="0"/>
        <w:keepLines w:val="0"/>
        <w:pageBreakBefore w:val="0"/>
        <w:kinsoku/>
        <w:wordWrap/>
        <w:overflowPunct/>
        <w:topLinePunct w:val="0"/>
        <w:bidi w:val="0"/>
        <w:adjustRightInd/>
        <w:spacing w:line="560" w:lineRule="exact"/>
        <w:ind w:firstLine="624" w:firstLineChars="200"/>
        <w:textAlignment w:val="auto"/>
        <w:outlineLvl w:val="1"/>
        <w:rPr>
          <w:rFonts w:hint="eastAsia"/>
          <w:color w:val="auto"/>
          <w:spacing w:val="-4"/>
          <w:szCs w:val="32"/>
          <w:highlight w:val="none"/>
        </w:rPr>
      </w:pPr>
      <w:bookmarkStart w:id="39" w:name="_Toc13405"/>
      <w:bookmarkStart w:id="40" w:name="_Toc15646"/>
      <w:bookmarkStart w:id="41" w:name="_Toc25867"/>
      <w:r>
        <w:rPr>
          <w:rFonts w:hint="eastAsia"/>
          <w:color w:val="auto"/>
          <w:spacing w:val="-4"/>
          <w:szCs w:val="32"/>
          <w:highlight w:val="none"/>
        </w:rPr>
        <w:t>应按照GB/T 42062《医疗器械 风险管理对医疗器械的应用》标准的要求，提供风险管理报告。风险管理报告至少应包括以下内容：</w:t>
      </w:r>
    </w:p>
    <w:p>
      <w:pPr>
        <w:keepNext w:val="0"/>
        <w:keepLines w:val="0"/>
        <w:pageBreakBefore w:val="0"/>
        <w:kinsoku/>
        <w:wordWrap/>
        <w:overflowPunct/>
        <w:topLinePunct w:val="0"/>
        <w:bidi w:val="0"/>
        <w:adjustRightInd/>
        <w:spacing w:line="560" w:lineRule="exact"/>
        <w:ind w:firstLine="624" w:firstLineChars="200"/>
        <w:textAlignment w:val="auto"/>
        <w:outlineLvl w:val="1"/>
        <w:rPr>
          <w:rFonts w:hint="eastAsia"/>
          <w:color w:val="auto"/>
          <w:spacing w:val="-4"/>
          <w:szCs w:val="32"/>
          <w:highlight w:val="none"/>
        </w:rPr>
      </w:pPr>
      <w:r>
        <w:rPr>
          <w:rFonts w:hint="eastAsia"/>
          <w:color w:val="auto"/>
          <w:spacing w:val="-4"/>
          <w:szCs w:val="32"/>
          <w:highlight w:val="none"/>
        </w:rPr>
        <w:t>1.1申请人应根据产品的预期用途，判定与产品安全性有关的特征。</w:t>
      </w:r>
    </w:p>
    <w:p>
      <w:pPr>
        <w:keepNext w:val="0"/>
        <w:keepLines w:val="0"/>
        <w:pageBreakBefore w:val="0"/>
        <w:kinsoku/>
        <w:wordWrap/>
        <w:overflowPunct/>
        <w:topLinePunct w:val="0"/>
        <w:bidi w:val="0"/>
        <w:adjustRightInd/>
        <w:spacing w:line="560" w:lineRule="exact"/>
        <w:ind w:firstLine="624" w:firstLineChars="200"/>
        <w:textAlignment w:val="auto"/>
        <w:outlineLvl w:val="1"/>
        <w:rPr>
          <w:rFonts w:hint="eastAsia"/>
          <w:color w:val="auto"/>
          <w:spacing w:val="-4"/>
          <w:szCs w:val="32"/>
          <w:highlight w:val="none"/>
        </w:rPr>
      </w:pPr>
      <w:r>
        <w:rPr>
          <w:rFonts w:hint="eastAsia"/>
          <w:color w:val="auto"/>
          <w:spacing w:val="-4"/>
          <w:szCs w:val="32"/>
          <w:highlight w:val="none"/>
        </w:rPr>
        <w:t>1.2识别全部与产品有关的已知和可预见的危险（源）。医用内窥镜冷光源</w:t>
      </w:r>
      <w:r>
        <w:rPr>
          <w:rFonts w:hint="eastAsia"/>
          <w:color w:val="auto"/>
          <w:spacing w:val="-4"/>
          <w:szCs w:val="32"/>
          <w:highlight w:val="none"/>
          <w:lang w:eastAsia="zh-CN"/>
        </w:rPr>
        <w:t>产品</w:t>
      </w:r>
      <w:r>
        <w:rPr>
          <w:rFonts w:hint="eastAsia"/>
          <w:color w:val="auto"/>
          <w:spacing w:val="-4"/>
          <w:szCs w:val="32"/>
          <w:highlight w:val="none"/>
        </w:rPr>
        <w:t>的危险（源）示例见附件1，申请人需根据产品实际情况进行完善。</w:t>
      </w:r>
    </w:p>
    <w:p>
      <w:pPr>
        <w:keepNext w:val="0"/>
        <w:keepLines w:val="0"/>
        <w:pageBreakBefore w:val="0"/>
        <w:kinsoku/>
        <w:wordWrap/>
        <w:overflowPunct/>
        <w:topLinePunct w:val="0"/>
        <w:bidi w:val="0"/>
        <w:adjustRightInd/>
        <w:spacing w:line="560" w:lineRule="exact"/>
        <w:ind w:firstLine="624" w:firstLineChars="200"/>
        <w:textAlignment w:val="auto"/>
        <w:outlineLvl w:val="1"/>
        <w:rPr>
          <w:rFonts w:hint="eastAsia"/>
          <w:color w:val="auto"/>
          <w:spacing w:val="-4"/>
          <w:szCs w:val="32"/>
          <w:highlight w:val="none"/>
        </w:rPr>
      </w:pPr>
      <w:r>
        <w:rPr>
          <w:rFonts w:hint="eastAsia"/>
          <w:color w:val="auto"/>
          <w:spacing w:val="-4"/>
          <w:szCs w:val="32"/>
          <w:highlight w:val="none"/>
        </w:rPr>
        <w:t>1.3明确产品的风险可接受性准则，决定每个已识别危险情况是否需要降低风险，说明对所判定的危害采取的降低风险的控制措施。</w:t>
      </w:r>
    </w:p>
    <w:p>
      <w:pPr>
        <w:keepNext w:val="0"/>
        <w:keepLines w:val="0"/>
        <w:pageBreakBefore w:val="0"/>
        <w:kinsoku/>
        <w:wordWrap/>
        <w:overflowPunct/>
        <w:topLinePunct w:val="0"/>
        <w:bidi w:val="0"/>
        <w:adjustRightInd/>
        <w:spacing w:line="560" w:lineRule="exact"/>
        <w:ind w:firstLine="624" w:firstLineChars="200"/>
        <w:textAlignment w:val="auto"/>
        <w:outlineLvl w:val="1"/>
        <w:rPr>
          <w:rFonts w:hint="eastAsia"/>
          <w:color w:val="auto"/>
          <w:spacing w:val="-4"/>
          <w:szCs w:val="32"/>
          <w:highlight w:val="none"/>
        </w:rPr>
      </w:pPr>
      <w:r>
        <w:rPr>
          <w:rFonts w:hint="eastAsia"/>
          <w:color w:val="auto"/>
          <w:spacing w:val="-4"/>
          <w:szCs w:val="32"/>
          <w:highlight w:val="none"/>
        </w:rPr>
        <w:t>1.4对采取控制措施后的剩余风险进行估计和评价，提供采取风险控制措施前、后的风险分布图，见附件1。</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r>
        <w:rPr>
          <w:bCs/>
          <w:color w:val="auto"/>
          <w:szCs w:val="32"/>
          <w:highlight w:val="none"/>
        </w:rPr>
        <w:t>2.医疗器械安全和性能基本原则清单</w:t>
      </w:r>
      <w:bookmarkEnd w:id="39"/>
      <w:bookmarkEnd w:id="40"/>
    </w:p>
    <w:p>
      <w:pPr>
        <w:keepNext w:val="0"/>
        <w:keepLines w:val="0"/>
        <w:pageBreakBefore w:val="0"/>
        <w:kinsoku/>
        <w:wordWrap/>
        <w:overflowPunct/>
        <w:topLinePunct w:val="0"/>
        <w:bidi w:val="0"/>
        <w:adjustRightInd/>
        <w:spacing w:line="560" w:lineRule="exact"/>
        <w:ind w:firstLine="640" w:firstLineChars="200"/>
        <w:textAlignment w:val="auto"/>
        <w:rPr>
          <w:color w:val="auto"/>
          <w:sz w:val="28"/>
          <w:szCs w:val="28"/>
          <w:highlight w:val="none"/>
        </w:rPr>
      </w:pPr>
      <w:r>
        <w:rPr>
          <w:bCs/>
          <w:color w:val="auto"/>
          <w:szCs w:val="32"/>
          <w:highlight w:val="none"/>
        </w:rPr>
        <w:t>参考《医疗器械安全和性能基本原则符合性技术指南》的要求，根据《医疗器械安全和性能的基本原则》中的各项要求明确适用性。对于不适用的要求，应当逐项说明不适用的理由。对于适用要求，应逐项说明为符合要求所采用的方法，以及证明其符合性的文件。关于证明各项要求符合性的文件，如果包含在产品注册申报资料中，应当说明其在申报资料中的具体位置。对于未包含在产品注册申报资料中的文件，应当注明该证据文件名称及其在质量管理体系文件中的编号。</w:t>
      </w:r>
      <w:r>
        <w:rPr>
          <w:rFonts w:hint="eastAsia"/>
          <w:color w:val="auto"/>
          <w:spacing w:val="-4"/>
          <w:szCs w:val="32"/>
          <w:highlight w:val="none"/>
        </w:rPr>
        <w:t>医用内窥镜冷光源</w:t>
      </w:r>
      <w:r>
        <w:rPr>
          <w:rFonts w:hint="eastAsia"/>
          <w:color w:val="auto"/>
          <w:spacing w:val="-4"/>
          <w:szCs w:val="32"/>
          <w:highlight w:val="none"/>
          <w:lang w:eastAsia="zh-CN"/>
        </w:rPr>
        <w:t>产品</w:t>
      </w:r>
      <w:r>
        <w:rPr>
          <w:bCs/>
          <w:color w:val="auto"/>
          <w:szCs w:val="32"/>
          <w:highlight w:val="none"/>
        </w:rPr>
        <w:t>《医疗器械安全和性能的基本原则</w:t>
      </w:r>
      <w:r>
        <w:rPr>
          <w:rFonts w:hint="eastAsia"/>
          <w:bCs/>
          <w:color w:val="auto"/>
          <w:szCs w:val="32"/>
          <w:highlight w:val="none"/>
          <w:lang w:eastAsia="zh-CN"/>
        </w:rPr>
        <w:t>清单</w:t>
      </w:r>
      <w:r>
        <w:rPr>
          <w:bCs/>
          <w:color w:val="auto"/>
          <w:szCs w:val="32"/>
          <w:highlight w:val="none"/>
        </w:rPr>
        <w:t>》</w:t>
      </w:r>
      <w:r>
        <w:rPr>
          <w:rFonts w:hint="eastAsia"/>
          <w:bCs/>
          <w:color w:val="auto"/>
          <w:szCs w:val="32"/>
          <w:highlight w:val="none"/>
          <w:lang w:eastAsia="zh-CN"/>
        </w:rPr>
        <w:t>示例</w:t>
      </w:r>
      <w:r>
        <w:rPr>
          <w:rFonts w:hint="eastAsia"/>
          <w:bCs/>
          <w:color w:val="auto"/>
          <w:szCs w:val="32"/>
          <w:highlight w:val="none"/>
        </w:rPr>
        <w:t>见附表2。</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42" w:name="_Toc12709"/>
      <w:bookmarkStart w:id="43" w:name="_Toc2716"/>
      <w:r>
        <w:rPr>
          <w:bCs/>
          <w:color w:val="auto"/>
          <w:szCs w:val="32"/>
          <w:highlight w:val="none"/>
        </w:rPr>
        <w:t>3.产品技术要求及检验报告</w:t>
      </w:r>
      <w:bookmarkEnd w:id="41"/>
      <w:bookmarkEnd w:id="42"/>
      <w:bookmarkEnd w:id="43"/>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outlineLvl w:val="1"/>
        <w:rPr>
          <w:rFonts w:hint="eastAsia"/>
          <w:bCs/>
          <w:color w:val="auto"/>
          <w:szCs w:val="32"/>
          <w:highlight w:val="none"/>
          <w:lang w:val="en-US" w:eastAsia="zh-CN"/>
        </w:rPr>
      </w:pPr>
      <w:bookmarkStart w:id="44" w:name="_Toc24155"/>
      <w:bookmarkStart w:id="45" w:name="_Toc25377"/>
      <w:bookmarkStart w:id="46" w:name="_Toc2999"/>
      <w:r>
        <w:rPr>
          <w:bCs/>
          <w:color w:val="auto"/>
          <w:szCs w:val="32"/>
          <w:highlight w:val="none"/>
        </w:rPr>
        <w:t>3.1</w:t>
      </w:r>
      <w:r>
        <w:rPr>
          <w:rFonts w:hint="eastAsia"/>
          <w:bCs/>
          <w:color w:val="auto"/>
          <w:szCs w:val="32"/>
          <w:highlight w:val="none"/>
          <w:lang w:val="en-US" w:eastAsia="zh-CN"/>
        </w:rPr>
        <w:t xml:space="preserve"> 申报产品适用标准情况 </w:t>
      </w:r>
    </w:p>
    <w:p>
      <w:pPr>
        <w:keepNext w:val="0"/>
        <w:keepLines w:val="0"/>
        <w:pageBreakBefore w:val="0"/>
        <w:kinsoku/>
        <w:wordWrap/>
        <w:overflowPunct/>
        <w:topLinePunct w:val="0"/>
        <w:bidi w:val="0"/>
        <w:adjustRightInd/>
        <w:spacing w:line="560" w:lineRule="exact"/>
        <w:ind w:firstLine="640" w:firstLineChars="200"/>
        <w:textAlignment w:val="auto"/>
        <w:outlineLvl w:val="1"/>
        <w:rPr>
          <w:rFonts w:hint="default"/>
          <w:bCs/>
          <w:color w:val="auto"/>
          <w:szCs w:val="32"/>
          <w:highlight w:val="none"/>
          <w:lang w:val="en-US" w:eastAsia="zh-CN"/>
        </w:rPr>
      </w:pPr>
      <w:r>
        <w:rPr>
          <w:rFonts w:hint="eastAsia"/>
          <w:bCs/>
          <w:color w:val="auto"/>
          <w:szCs w:val="32"/>
          <w:highlight w:val="none"/>
          <w:lang w:val="en-US" w:eastAsia="zh-CN"/>
        </w:rPr>
        <w:t>申报产品是否符合适用的强制性标准。对于强制性行业标准，若申报产品结构特征、预期用途、使用方式等与强制性标准的适用范围不一致，注册申请人是否提出不适用强制性标准的说明，并提供经验证的证明性资料。适用的标准及适用情况见附录2。</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r>
        <w:rPr>
          <w:rFonts w:hint="eastAsia"/>
          <w:bCs/>
          <w:color w:val="auto"/>
          <w:szCs w:val="32"/>
          <w:highlight w:val="none"/>
          <w:lang w:val="en-US" w:eastAsia="zh-CN"/>
        </w:rPr>
        <w:t>3.2</w:t>
      </w:r>
      <w:r>
        <w:rPr>
          <w:bCs/>
          <w:color w:val="auto"/>
          <w:szCs w:val="32"/>
          <w:highlight w:val="none"/>
        </w:rPr>
        <w:t>产品技术要求</w:t>
      </w:r>
      <w:bookmarkEnd w:id="44"/>
      <w:bookmarkEnd w:id="45"/>
      <w:bookmarkEnd w:id="46"/>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注册申请人应按照《医疗器械产品技术要求编写指导原则》编写产品技术要求，</w:t>
      </w:r>
      <w:r>
        <w:rPr>
          <w:color w:val="auto"/>
          <w:kern w:val="0"/>
          <w:szCs w:val="32"/>
          <w:highlight w:val="none"/>
        </w:rPr>
        <w:t>结合申报产品的特点设置条款。</w:t>
      </w:r>
      <w:r>
        <w:rPr>
          <w:color w:val="auto"/>
          <w:szCs w:val="32"/>
          <w:highlight w:val="none"/>
        </w:rPr>
        <w:t>不同企业可根据自身产品的技术特点制定性能指标，但不得低于相关强制性国家标准、行业标准的要求。</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3.2</w:t>
      </w:r>
      <w:r>
        <w:rPr>
          <w:color w:val="auto"/>
          <w:szCs w:val="32"/>
          <w:highlight w:val="none"/>
        </w:rPr>
        <w:t>.1</w:t>
      </w:r>
      <w:r>
        <w:rPr>
          <w:rFonts w:hint="eastAsia"/>
          <w:color w:val="auto"/>
          <w:szCs w:val="32"/>
          <w:highlight w:val="none"/>
        </w:rPr>
        <w:t>产品型号/规格及其划分说明</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应</w:t>
      </w:r>
      <w:r>
        <w:rPr>
          <w:color w:val="auto"/>
          <w:szCs w:val="32"/>
          <w:highlight w:val="none"/>
        </w:rPr>
        <w:t>明确产品规格</w:t>
      </w:r>
      <w:r>
        <w:rPr>
          <w:rFonts w:hint="eastAsia"/>
          <w:color w:val="auto"/>
          <w:szCs w:val="32"/>
          <w:highlight w:val="none"/>
        </w:rPr>
        <w:t>/</w:t>
      </w:r>
      <w:r>
        <w:rPr>
          <w:color w:val="auto"/>
          <w:szCs w:val="32"/>
          <w:highlight w:val="none"/>
        </w:rPr>
        <w:t>型号及划分说明。</w:t>
      </w:r>
      <w:r>
        <w:rPr>
          <w:rFonts w:hint="eastAsia"/>
          <w:color w:val="auto"/>
          <w:szCs w:val="32"/>
          <w:highlight w:val="none"/>
        </w:rPr>
        <w:t>若产品有多个型号，应体现型号间差异。</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若含有软件，应按照《</w:t>
      </w:r>
      <w:bookmarkStart w:id="47" w:name="OLE_LINK1"/>
      <w:r>
        <w:rPr>
          <w:rFonts w:hint="eastAsia"/>
          <w:color w:val="auto"/>
          <w:szCs w:val="32"/>
          <w:highlight w:val="none"/>
        </w:rPr>
        <w:t>医疗器械软件注册审查指导原则</w:t>
      </w:r>
      <w:bookmarkEnd w:id="47"/>
      <w:r>
        <w:rPr>
          <w:rFonts w:hint="eastAsia"/>
          <w:color w:val="auto"/>
          <w:szCs w:val="32"/>
          <w:highlight w:val="none"/>
        </w:rPr>
        <w:t>(2022年修订版)》的要求明确软件的名称、型号规格（若适用）、发布版本、版本命名规则，软件模块（含医用中间件）、若有单独的版本、版本命名规则均需说明。</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lang w:eastAsia="zh-CN"/>
        </w:rPr>
        <w:t>3.2</w:t>
      </w:r>
      <w:r>
        <w:rPr>
          <w:color w:val="auto"/>
          <w:szCs w:val="32"/>
          <w:highlight w:val="none"/>
        </w:rPr>
        <w:t xml:space="preserve">.2 </w:t>
      </w:r>
      <w:r>
        <w:rPr>
          <w:rFonts w:hint="eastAsia"/>
          <w:color w:val="auto"/>
          <w:szCs w:val="32"/>
          <w:highlight w:val="none"/>
        </w:rPr>
        <w:t>制造商应以任何可行的形式给出医用内窥镜冷光源的构成，包括所适用的灯泡特征，并明确该构成中是否含有导光束、送气功能等。</w:t>
      </w:r>
      <w:r>
        <w:rPr>
          <w:rFonts w:hint="eastAsia"/>
          <w:color w:val="auto"/>
          <w:szCs w:val="32"/>
          <w:highlight w:val="none"/>
          <w:lang w:eastAsia="zh-CN"/>
        </w:rPr>
        <w:t>灯泡</w:t>
      </w:r>
      <w:r>
        <w:rPr>
          <w:rFonts w:hint="eastAsia"/>
          <w:color w:val="auto"/>
          <w:szCs w:val="32"/>
          <w:highlight w:val="none"/>
        </w:rPr>
        <w:t>特征（</w:t>
      </w:r>
      <w:r>
        <w:rPr>
          <w:color w:val="auto"/>
          <w:szCs w:val="32"/>
          <w:highlight w:val="none"/>
        </w:rPr>
        <w:t>YY 1081</w:t>
      </w:r>
      <w:r>
        <w:rPr>
          <w:rFonts w:hint="eastAsia"/>
          <w:color w:val="auto"/>
          <w:szCs w:val="32"/>
          <w:highlight w:val="none"/>
        </w:rPr>
        <w:t>中</w:t>
      </w:r>
      <w:r>
        <w:rPr>
          <w:color w:val="auto"/>
          <w:szCs w:val="32"/>
          <w:highlight w:val="none"/>
        </w:rPr>
        <w:t>4.1</w:t>
      </w:r>
      <w:r>
        <w:rPr>
          <w:rFonts w:hint="eastAsia"/>
          <w:color w:val="auto"/>
          <w:szCs w:val="32"/>
          <w:highlight w:val="none"/>
        </w:rPr>
        <w:t>中涉及）包括：输入特征（供电压、功率）</w:t>
      </w:r>
      <w:r>
        <w:rPr>
          <w:rFonts w:hint="eastAsia"/>
          <w:color w:val="auto"/>
          <w:szCs w:val="32"/>
          <w:highlight w:val="none"/>
          <w:lang w:eastAsia="zh-CN"/>
        </w:rPr>
        <w:t>。</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3.2</w:t>
      </w:r>
      <w:r>
        <w:rPr>
          <w:color w:val="auto"/>
          <w:szCs w:val="32"/>
          <w:highlight w:val="none"/>
        </w:rPr>
        <w:t>.3 技术指标</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Cs w:val="32"/>
          <w:highlight w:val="none"/>
        </w:rPr>
      </w:pPr>
      <w:r>
        <w:rPr>
          <w:color w:val="auto"/>
          <w:szCs w:val="32"/>
          <w:highlight w:val="none"/>
        </w:rPr>
        <w:t>内窥镜冷光源产品的主要技术指标可分为有效性技术指标和安全性技术指标。根据产品的主要功能和预期用途，产品的有效性技术指标应包括：显色指数、色温、红绿蓝光的辐通量比、红外截止性能、光照均匀性能、辐射性能等。安全性技术指标主要指电气安全性能</w:t>
      </w:r>
      <w:r>
        <w:rPr>
          <w:rStyle w:val="33"/>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color w:val="auto"/>
          <w:spacing w:val="-4"/>
          <w:szCs w:val="32"/>
          <w:highlight w:val="none"/>
        </w:rPr>
      </w:pPr>
      <w:bookmarkStart w:id="48" w:name="OLE_LINK5"/>
      <w:r>
        <w:rPr>
          <w:rFonts w:hint="eastAsia"/>
          <w:color w:val="auto"/>
          <w:highlight w:val="none"/>
          <w:lang w:eastAsia="zh-CN"/>
        </w:rPr>
        <w:t>3.2</w:t>
      </w:r>
      <w:r>
        <w:rPr>
          <w:color w:val="auto"/>
          <w:highlight w:val="none"/>
        </w:rPr>
        <w:t>.</w:t>
      </w:r>
      <w:r>
        <w:rPr>
          <w:rFonts w:hint="eastAsia"/>
          <w:color w:val="auto"/>
          <w:highlight w:val="none"/>
          <w:lang w:val="en-US" w:eastAsia="zh-CN"/>
        </w:rPr>
        <w:t>3.1</w:t>
      </w:r>
      <w:r>
        <w:rPr>
          <w:color w:val="auto"/>
          <w:spacing w:val="-4"/>
          <w:szCs w:val="32"/>
          <w:highlight w:val="none"/>
        </w:rPr>
        <w:t>医用内窥镜冷光源</w:t>
      </w:r>
      <w:r>
        <w:rPr>
          <w:rFonts w:hint="eastAsia"/>
          <w:color w:val="auto"/>
          <w:spacing w:val="-4"/>
          <w:szCs w:val="32"/>
          <w:highlight w:val="none"/>
        </w:rPr>
        <w:t>性能指标可参考</w:t>
      </w:r>
      <w:r>
        <w:rPr>
          <w:color w:val="auto"/>
          <w:spacing w:val="-8"/>
          <w:szCs w:val="32"/>
          <w:highlight w:val="none"/>
        </w:rPr>
        <w:t>YY/T 1081</w:t>
      </w:r>
      <w:r>
        <w:rPr>
          <w:rFonts w:hint="eastAsia"/>
          <w:color w:val="auto"/>
          <w:szCs w:val="32"/>
          <w:highlight w:val="none"/>
        </w:rPr>
        <w:t>，与电子内窥镜匹配使用的冷光源可不适用显色指数</w:t>
      </w:r>
      <w:r>
        <w:rPr>
          <w:rFonts w:hint="eastAsia"/>
          <w:color w:val="auto"/>
          <w:spacing w:val="-4"/>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rFonts w:hint="eastAsia" w:eastAsia="仿宋_GB2312"/>
          <w:color w:val="auto"/>
          <w:spacing w:val="-4"/>
          <w:szCs w:val="32"/>
          <w:highlight w:val="none"/>
          <w:lang w:eastAsia="zh-CN"/>
        </w:rPr>
      </w:pPr>
      <w:r>
        <w:rPr>
          <w:rFonts w:hint="eastAsia"/>
          <w:color w:val="auto"/>
          <w:highlight w:val="none"/>
          <w:lang w:eastAsia="zh-CN"/>
        </w:rPr>
        <w:t>3.2</w:t>
      </w:r>
      <w:r>
        <w:rPr>
          <w:color w:val="auto"/>
          <w:highlight w:val="none"/>
        </w:rPr>
        <w:t>.</w:t>
      </w:r>
      <w:r>
        <w:rPr>
          <w:rFonts w:hint="eastAsia"/>
          <w:color w:val="auto"/>
          <w:highlight w:val="none"/>
          <w:lang w:val="en-US" w:eastAsia="zh-CN"/>
        </w:rPr>
        <w:t>3.2</w:t>
      </w:r>
      <w:r>
        <w:rPr>
          <w:color w:val="auto"/>
          <w:highlight w:val="none"/>
        </w:rPr>
        <w:t xml:space="preserve"> </w:t>
      </w:r>
      <w:r>
        <w:rPr>
          <w:rFonts w:hint="eastAsia"/>
          <w:color w:val="auto"/>
          <w:highlight w:val="none"/>
        </w:rPr>
        <w:t>与内窥镜摄像系统集成的一体机、</w:t>
      </w:r>
      <w:r>
        <w:rPr>
          <w:rFonts w:hint="eastAsia"/>
          <w:color w:val="auto"/>
          <w:szCs w:val="32"/>
          <w:highlight w:val="none"/>
        </w:rPr>
        <w:t>光源和内窥镜集成一体的电子内窥镜的冷光源部分性能指标可参照</w:t>
      </w:r>
      <w:r>
        <w:rPr>
          <w:color w:val="auto"/>
          <w:szCs w:val="32"/>
          <w:highlight w:val="none"/>
        </w:rPr>
        <w:t>YY/T 1081</w:t>
      </w:r>
      <w:r>
        <w:rPr>
          <w:rFonts w:hint="eastAsia"/>
          <w:color w:val="auto"/>
          <w:szCs w:val="32"/>
          <w:highlight w:val="none"/>
        </w:rPr>
        <w:t>，</w:t>
      </w:r>
      <w:r>
        <w:rPr>
          <w:rFonts w:hint="eastAsia"/>
          <w:color w:val="auto"/>
          <w:szCs w:val="32"/>
          <w:highlight w:val="none"/>
          <w:lang w:eastAsia="zh-CN"/>
        </w:rPr>
        <w:t>如部分指标不适用，应在研究资料明确不适用理由。</w:t>
      </w:r>
    </w:p>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eastAsia="仿宋_GB2312"/>
          <w:color w:val="auto"/>
          <w:spacing w:val="-4"/>
          <w:sz w:val="32"/>
          <w:szCs w:val="32"/>
          <w:highlight w:val="none"/>
          <w:lang w:val="en-US" w:eastAsia="zh-CN"/>
        </w:rPr>
        <w:t>3</w:t>
      </w:r>
      <w:r>
        <w:rPr>
          <w:rFonts w:eastAsia="仿宋_GB2312"/>
          <w:color w:val="auto"/>
          <w:spacing w:val="-4"/>
          <w:sz w:val="32"/>
          <w:szCs w:val="32"/>
          <w:highlight w:val="none"/>
        </w:rPr>
        <w:t xml:space="preserve"> </w:t>
      </w:r>
      <w:r>
        <w:rPr>
          <w:rFonts w:hint="eastAsia" w:eastAsia="仿宋_GB2312"/>
          <w:color w:val="auto"/>
          <w:spacing w:val="-4"/>
          <w:sz w:val="32"/>
          <w:szCs w:val="32"/>
          <w:highlight w:val="none"/>
        </w:rPr>
        <w:t>送气功能（如适用）</w:t>
      </w:r>
    </w:p>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rPr>
        <w:t>制造商应给出设备的气流量、气压，冷光源应符合该要求。</w:t>
      </w:r>
    </w:p>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eastAsia="仿宋_GB2312"/>
          <w:color w:val="auto"/>
          <w:spacing w:val="-4"/>
          <w:sz w:val="32"/>
          <w:szCs w:val="32"/>
          <w:highlight w:val="none"/>
          <w:lang w:val="en-US" w:eastAsia="zh-CN"/>
        </w:rPr>
        <w:t>4</w:t>
      </w:r>
      <w:r>
        <w:rPr>
          <w:rFonts w:eastAsia="仿宋_GB2312"/>
          <w:color w:val="auto"/>
          <w:spacing w:val="-4"/>
          <w:sz w:val="32"/>
          <w:szCs w:val="32"/>
          <w:highlight w:val="none"/>
        </w:rPr>
        <w:t xml:space="preserve"> </w:t>
      </w:r>
      <w:r>
        <w:rPr>
          <w:rFonts w:hint="eastAsia" w:eastAsia="仿宋_GB2312"/>
          <w:color w:val="auto"/>
          <w:spacing w:val="-4"/>
          <w:sz w:val="32"/>
          <w:szCs w:val="32"/>
          <w:highlight w:val="none"/>
        </w:rPr>
        <w:t>特殊光谱（如适用）</w:t>
      </w:r>
    </w:p>
    <w:p>
      <w:pPr>
        <w:pStyle w:val="43"/>
        <w:keepNext w:val="0"/>
        <w:keepLines w:val="0"/>
        <w:pageBreakBefore w:val="0"/>
        <w:kinsoku/>
        <w:wordWrap/>
        <w:overflowPunct/>
        <w:topLinePunct w:val="0"/>
        <w:bidi w:val="0"/>
        <w:adjustRightInd/>
        <w:spacing w:line="560" w:lineRule="exact"/>
        <w:ind w:firstLine="624" w:firstLineChars="200"/>
        <w:textAlignment w:val="auto"/>
        <w:rPr>
          <w:rFonts w:hint="eastAsia" w:eastAsia="仿宋_GB2312"/>
          <w:color w:val="auto"/>
          <w:spacing w:val="-4"/>
          <w:sz w:val="32"/>
          <w:szCs w:val="32"/>
          <w:highlight w:val="none"/>
          <w:lang w:eastAsia="zh-CN"/>
        </w:rPr>
      </w:pPr>
      <w:r>
        <w:rPr>
          <w:rFonts w:hint="eastAsia" w:eastAsia="仿宋_GB2312"/>
          <w:color w:val="auto"/>
          <w:spacing w:val="-4"/>
          <w:sz w:val="32"/>
          <w:szCs w:val="32"/>
          <w:highlight w:val="none"/>
        </w:rPr>
        <w:t>若产品含有特殊光谱，应明确光谱特性（主峰值、半高宽等）</w:t>
      </w:r>
      <w:r>
        <w:rPr>
          <w:rFonts w:hint="eastAsia" w:eastAsia="仿宋_GB2312"/>
          <w:color w:val="auto"/>
          <w:spacing w:val="-4"/>
          <w:sz w:val="32"/>
          <w:szCs w:val="32"/>
          <w:highlight w:val="none"/>
          <w:lang w:eastAsia="zh-CN"/>
        </w:rPr>
        <w:t>。如含有激光光源，应明确激光光源的波长、工作距离处辐射功率、辐照度、长波截止波长、复现性、 稳定性等要求。</w:t>
      </w:r>
    </w:p>
    <w:p>
      <w:pPr>
        <w:pStyle w:val="43"/>
        <w:keepNext w:val="0"/>
        <w:keepLines w:val="0"/>
        <w:pageBreakBefore w:val="0"/>
        <w:kinsoku/>
        <w:wordWrap/>
        <w:overflowPunct/>
        <w:topLinePunct w:val="0"/>
        <w:bidi w:val="0"/>
        <w:adjustRightInd/>
        <w:spacing w:line="560" w:lineRule="exact"/>
        <w:ind w:firstLine="624" w:firstLineChars="200"/>
        <w:textAlignment w:val="auto"/>
        <w:rPr>
          <w:rFonts w:hint="eastAsia" w:eastAsia="仿宋_GB2312"/>
          <w:color w:val="auto"/>
          <w:spacing w:val="-4"/>
          <w:sz w:val="32"/>
          <w:szCs w:val="32"/>
          <w:highlight w:val="none"/>
          <w:lang w:val="en-US" w:eastAsia="zh-CN"/>
        </w:rPr>
      </w:pPr>
      <w:r>
        <w:rPr>
          <w:rFonts w:hint="eastAsia" w:eastAsia="仿宋_GB2312"/>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eastAsia="仿宋_GB2312"/>
          <w:color w:val="auto"/>
          <w:spacing w:val="-4"/>
          <w:sz w:val="32"/>
          <w:szCs w:val="32"/>
          <w:highlight w:val="none"/>
          <w:lang w:val="en-US" w:eastAsia="zh-CN"/>
        </w:rPr>
        <w:t>5 导光束</w:t>
      </w:r>
      <w:r>
        <w:rPr>
          <w:rFonts w:hint="eastAsia" w:eastAsia="仿宋_GB2312"/>
          <w:color w:val="auto"/>
          <w:spacing w:val="-4"/>
          <w:sz w:val="32"/>
          <w:szCs w:val="32"/>
          <w:highlight w:val="none"/>
        </w:rPr>
        <w:t>（如适用）</w:t>
      </w:r>
    </w:p>
    <w:p>
      <w:pPr>
        <w:pStyle w:val="43"/>
        <w:keepNext w:val="0"/>
        <w:keepLines w:val="0"/>
        <w:pageBreakBefore w:val="0"/>
        <w:kinsoku/>
        <w:wordWrap/>
        <w:overflowPunct/>
        <w:topLinePunct w:val="0"/>
        <w:bidi w:val="0"/>
        <w:adjustRightInd/>
        <w:spacing w:line="560" w:lineRule="exact"/>
        <w:ind w:firstLine="624" w:firstLineChars="200"/>
        <w:textAlignment w:val="auto"/>
        <w:rPr>
          <w:rFonts w:hint="eastAsia" w:eastAsia="仿宋_GB2312"/>
          <w:color w:val="auto"/>
          <w:spacing w:val="-4"/>
          <w:sz w:val="32"/>
          <w:szCs w:val="32"/>
          <w:highlight w:val="none"/>
          <w:lang w:eastAsia="zh-CN"/>
        </w:rPr>
      </w:pPr>
      <w:r>
        <w:rPr>
          <w:rFonts w:hint="eastAsia" w:eastAsia="仿宋_GB2312"/>
          <w:color w:val="auto"/>
          <w:spacing w:val="-4"/>
          <w:sz w:val="32"/>
          <w:szCs w:val="32"/>
          <w:highlight w:val="none"/>
        </w:rPr>
        <w:t>若产品含</w:t>
      </w:r>
      <w:r>
        <w:rPr>
          <w:rFonts w:hint="eastAsia" w:eastAsia="仿宋_GB2312"/>
          <w:color w:val="auto"/>
          <w:spacing w:val="-4"/>
          <w:sz w:val="32"/>
          <w:szCs w:val="32"/>
          <w:highlight w:val="none"/>
          <w:lang w:eastAsia="zh-CN"/>
        </w:rPr>
        <w:t>有导光束，应明确</w:t>
      </w:r>
      <w:r>
        <w:rPr>
          <w:rFonts w:hint="eastAsia" w:eastAsia="仿宋_GB2312"/>
          <w:color w:val="auto"/>
          <w:spacing w:val="-4"/>
          <w:sz w:val="32"/>
          <w:szCs w:val="32"/>
          <w:highlight w:val="none"/>
        </w:rPr>
        <w:t>出光角、光透过率、光谱透过率</w:t>
      </w:r>
      <w:r>
        <w:rPr>
          <w:rFonts w:hint="eastAsia" w:eastAsia="仿宋_GB2312"/>
          <w:color w:val="auto"/>
          <w:spacing w:val="-4"/>
          <w:sz w:val="32"/>
          <w:szCs w:val="32"/>
          <w:highlight w:val="none"/>
          <w:lang w:eastAsia="zh-CN"/>
        </w:rPr>
        <w:t>等要求。</w:t>
      </w:r>
    </w:p>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eastAsia="仿宋_GB2312"/>
          <w:color w:val="auto"/>
          <w:spacing w:val="-4"/>
          <w:sz w:val="32"/>
          <w:szCs w:val="32"/>
          <w:highlight w:val="none"/>
          <w:lang w:val="en-US" w:eastAsia="zh-CN"/>
        </w:rPr>
        <w:t xml:space="preserve">6 </w:t>
      </w:r>
      <w:r>
        <w:rPr>
          <w:rFonts w:hint="eastAsia" w:eastAsia="仿宋_GB2312"/>
          <w:color w:val="auto"/>
          <w:spacing w:val="-4"/>
          <w:sz w:val="32"/>
          <w:szCs w:val="32"/>
          <w:highlight w:val="none"/>
        </w:rPr>
        <w:t>软件相关要求（如适用）</w:t>
      </w:r>
    </w:p>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rPr>
        <w:t>软件组件，应明确软件的功能、使用限制、运行环境（如适用）、性能效率（如适用）等要求。</w:t>
      </w:r>
    </w:p>
    <w:bookmarkEnd w:id="48"/>
    <w:p>
      <w:pPr>
        <w:pStyle w:val="43"/>
        <w:keepNext w:val="0"/>
        <w:keepLines w:val="0"/>
        <w:pageBreakBefore w:val="0"/>
        <w:kinsoku/>
        <w:wordWrap/>
        <w:overflowPunct/>
        <w:topLinePunct w:val="0"/>
        <w:bidi w:val="0"/>
        <w:adjustRightInd/>
        <w:spacing w:line="560" w:lineRule="exact"/>
        <w:ind w:firstLine="624" w:firstLineChars="200"/>
        <w:textAlignment w:val="auto"/>
        <w:rPr>
          <w:rFonts w:eastAsia="仿宋_GB2312"/>
          <w:color w:val="auto"/>
          <w:spacing w:val="-4"/>
          <w:sz w:val="32"/>
          <w:szCs w:val="32"/>
          <w:highlight w:val="none"/>
        </w:rPr>
      </w:pPr>
      <w:r>
        <w:rPr>
          <w:rFonts w:hint="eastAsia" w:eastAsia="仿宋_GB2312"/>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eastAsia="仿宋_GB2312"/>
          <w:color w:val="auto"/>
          <w:spacing w:val="-4"/>
          <w:sz w:val="32"/>
          <w:szCs w:val="32"/>
          <w:highlight w:val="none"/>
          <w:lang w:val="en-US" w:eastAsia="zh-CN"/>
        </w:rPr>
        <w:t>7</w:t>
      </w:r>
      <w:r>
        <w:rPr>
          <w:rFonts w:eastAsia="仿宋_GB2312"/>
          <w:color w:val="auto"/>
          <w:spacing w:val="-4"/>
          <w:sz w:val="32"/>
          <w:szCs w:val="32"/>
          <w:highlight w:val="none"/>
        </w:rPr>
        <w:t xml:space="preserve"> 其他要求</w:t>
      </w:r>
    </w:p>
    <w:p>
      <w:pPr>
        <w:keepNext w:val="0"/>
        <w:keepLines w:val="0"/>
        <w:pageBreakBefore w:val="0"/>
        <w:kinsoku/>
        <w:wordWrap/>
        <w:overflowPunct/>
        <w:topLinePunct w:val="0"/>
        <w:bidi w:val="0"/>
        <w:adjustRightInd/>
        <w:spacing w:line="560" w:lineRule="exact"/>
        <w:ind w:firstLine="624" w:firstLineChars="200"/>
        <w:textAlignment w:val="auto"/>
        <w:rPr>
          <w:rFonts w:hint="eastAsia" w:eastAsia="仿宋_GB2312"/>
          <w:color w:val="auto"/>
          <w:spacing w:val="-4"/>
          <w:szCs w:val="32"/>
          <w:highlight w:val="none"/>
          <w:lang w:eastAsia="zh-CN"/>
        </w:rPr>
      </w:pPr>
      <w:r>
        <w:rPr>
          <w:color w:val="auto"/>
          <w:spacing w:val="-4"/>
          <w:szCs w:val="32"/>
          <w:highlight w:val="none"/>
        </w:rPr>
        <w:t>若产品含有其他功能、组件或新的特性，还应根据产品实际情况增加相应要求。</w:t>
      </w:r>
      <w:r>
        <w:rPr>
          <w:rFonts w:hint="eastAsia"/>
          <w:color w:val="auto"/>
          <w:spacing w:val="-4"/>
          <w:szCs w:val="32"/>
          <w:highlight w:val="none"/>
        </w:rPr>
        <w:t>例如，报警功能，应符合</w:t>
      </w:r>
      <w:r>
        <w:rPr>
          <w:color w:val="auto"/>
          <w:spacing w:val="-4"/>
          <w:szCs w:val="32"/>
          <w:highlight w:val="none"/>
        </w:rPr>
        <w:t>YY9706.108的要求</w:t>
      </w:r>
      <w:r>
        <w:rPr>
          <w:rFonts w:hint="eastAsia"/>
          <w:color w:val="auto"/>
          <w:spacing w:val="-4"/>
          <w:szCs w:val="32"/>
          <w:highlight w:val="none"/>
          <w:lang w:eastAsia="zh-CN"/>
        </w:rPr>
        <w:t>。</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 w:val="32"/>
          <w:szCs w:val="32"/>
          <w:highlight w:val="none"/>
          <w:lang w:eastAsia="zh-CN"/>
        </w:rPr>
        <w:t>3.2</w:t>
      </w:r>
      <w:r>
        <w:rPr>
          <w:rFonts w:hint="eastAsia" w:eastAsia="仿宋_GB2312"/>
          <w:color w:val="auto"/>
          <w:spacing w:val="-4"/>
          <w:sz w:val="32"/>
          <w:szCs w:val="32"/>
          <w:highlight w:val="none"/>
        </w:rPr>
        <w:t>.3.</w:t>
      </w:r>
      <w:r>
        <w:rPr>
          <w:rFonts w:hint="eastAsia"/>
          <w:color w:val="auto"/>
          <w:spacing w:val="-4"/>
          <w:sz w:val="32"/>
          <w:szCs w:val="32"/>
          <w:highlight w:val="none"/>
          <w:lang w:val="en-US" w:eastAsia="zh-CN"/>
        </w:rPr>
        <w:t>8</w:t>
      </w:r>
      <w:r>
        <w:rPr>
          <w:color w:val="auto"/>
          <w:spacing w:val="-4"/>
          <w:szCs w:val="32"/>
          <w:highlight w:val="none"/>
        </w:rPr>
        <w:t xml:space="preserve"> </w:t>
      </w:r>
      <w:r>
        <w:rPr>
          <w:rFonts w:hint="eastAsia"/>
          <w:color w:val="auto"/>
          <w:spacing w:val="-4"/>
          <w:szCs w:val="32"/>
          <w:highlight w:val="none"/>
        </w:rPr>
        <w:t>安全要求</w:t>
      </w:r>
    </w:p>
    <w:p>
      <w:pPr>
        <w:keepNext w:val="0"/>
        <w:keepLines w:val="0"/>
        <w:pageBreakBefore w:val="0"/>
        <w:kinsoku/>
        <w:wordWrap/>
        <w:overflowPunct/>
        <w:topLinePunct w:val="0"/>
        <w:bidi w:val="0"/>
        <w:adjustRightInd/>
        <w:spacing w:line="560" w:lineRule="exact"/>
        <w:ind w:firstLine="624" w:firstLineChars="200"/>
        <w:textAlignment w:val="auto"/>
        <w:rPr>
          <w:rFonts w:hint="eastAsia" w:eastAsia="仿宋_GB2312"/>
          <w:bCs/>
          <w:strike/>
          <w:color w:val="auto"/>
          <w:szCs w:val="32"/>
          <w:highlight w:val="none"/>
          <w:lang w:eastAsia="zh-CN"/>
        </w:rPr>
      </w:pPr>
      <w:r>
        <w:rPr>
          <w:color w:val="auto"/>
          <w:spacing w:val="-4"/>
          <w:szCs w:val="32"/>
          <w:highlight w:val="none"/>
        </w:rPr>
        <w:t>医用电气设备应符合GB 9706.1、YY 9706.102、GB 9706.218的要求。</w:t>
      </w:r>
      <w:r>
        <w:rPr>
          <w:rFonts w:hint="eastAsia"/>
          <w:color w:val="auto"/>
          <w:spacing w:val="-4"/>
          <w:szCs w:val="32"/>
          <w:highlight w:val="none"/>
          <w:lang w:eastAsia="zh-CN"/>
        </w:rPr>
        <w:t>含有激光的，还应符合GB 7247.1的要求。</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49" w:name="_Toc10298"/>
      <w:bookmarkStart w:id="50" w:name="_Toc4750"/>
      <w:bookmarkStart w:id="51" w:name="_Toc28381"/>
      <w:r>
        <w:rPr>
          <w:bCs/>
          <w:color w:val="auto"/>
          <w:szCs w:val="32"/>
          <w:highlight w:val="none"/>
        </w:rPr>
        <w:t>3.</w:t>
      </w:r>
      <w:r>
        <w:rPr>
          <w:rFonts w:hint="eastAsia"/>
          <w:bCs/>
          <w:color w:val="auto"/>
          <w:szCs w:val="32"/>
          <w:highlight w:val="none"/>
          <w:lang w:val="en-US" w:eastAsia="zh-CN"/>
        </w:rPr>
        <w:t>3</w:t>
      </w:r>
      <w:r>
        <w:rPr>
          <w:bCs/>
          <w:color w:val="auto"/>
          <w:szCs w:val="32"/>
          <w:highlight w:val="none"/>
        </w:rPr>
        <w:t>产品检验报告</w:t>
      </w:r>
      <w:bookmarkEnd w:id="49"/>
      <w:bookmarkEnd w:id="50"/>
      <w:bookmarkEnd w:id="51"/>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szCs w:val="32"/>
          <w:highlight w:val="none"/>
        </w:rPr>
      </w:pPr>
      <w:r>
        <w:rPr>
          <w:rFonts w:hint="eastAsia"/>
          <w:bCs/>
          <w:color w:val="auto"/>
          <w:szCs w:val="32"/>
          <w:highlight w:val="none"/>
          <w:lang w:eastAsia="zh-CN"/>
        </w:rPr>
        <w:t>（</w:t>
      </w:r>
      <w:r>
        <w:rPr>
          <w:rFonts w:hint="eastAsia"/>
          <w:bCs/>
          <w:color w:val="auto"/>
          <w:szCs w:val="32"/>
          <w:highlight w:val="none"/>
          <w:lang w:val="en-US" w:eastAsia="zh-CN"/>
        </w:rPr>
        <w:t>1</w:t>
      </w:r>
      <w:r>
        <w:rPr>
          <w:rFonts w:hint="eastAsia"/>
          <w:bCs/>
          <w:color w:val="auto"/>
          <w:szCs w:val="32"/>
          <w:highlight w:val="none"/>
          <w:lang w:eastAsia="zh-CN"/>
        </w:rPr>
        <w:t>）</w:t>
      </w:r>
      <w:r>
        <w:rPr>
          <w:rStyle w:val="33"/>
          <w:color w:val="auto"/>
          <w:sz w:val="32"/>
          <w:szCs w:val="32"/>
          <w:highlight w:val="none"/>
        </w:rPr>
        <w:t>同一注册单元中注册检验典型产品的确定原则</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szCs w:val="32"/>
          <w:highlight w:val="none"/>
        </w:rPr>
      </w:pPr>
      <w:r>
        <w:rPr>
          <w:rStyle w:val="33"/>
          <w:rFonts w:hint="eastAsia"/>
          <w:color w:val="auto"/>
          <w:sz w:val="32"/>
          <w:szCs w:val="32"/>
          <w:highlight w:val="none"/>
        </w:rPr>
        <w:t>同一注册单元应按产品风险与技术指标的覆盖性来选择典型产品。典型产品应是同一注册单元内能够代表本单元内其他产品安全性和有效性的产品,应考虑功能最齐全、结构最复杂、功能最多、功率最大、风险最高的产品。如果检测一个型号不能覆盖其他型号的全部性能功能，则可对其他型号不能覆盖的部分进行差异检测。</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szCs w:val="32"/>
          <w:highlight w:val="none"/>
        </w:rPr>
      </w:pPr>
      <w:r>
        <w:rPr>
          <w:rStyle w:val="33"/>
          <w:rFonts w:hint="eastAsia"/>
          <w:color w:val="auto"/>
          <w:sz w:val="32"/>
          <w:szCs w:val="32"/>
          <w:highlight w:val="none"/>
        </w:rPr>
        <w:t>举例：</w:t>
      </w:r>
    </w:p>
    <w:p>
      <w:pPr>
        <w:keepNext w:val="0"/>
        <w:keepLines w:val="0"/>
        <w:pageBreakBefore w:val="0"/>
        <w:kinsoku/>
        <w:wordWrap/>
        <w:overflowPunct/>
        <w:topLinePunct w:val="0"/>
        <w:bidi w:val="0"/>
        <w:adjustRightInd/>
        <w:spacing w:line="560" w:lineRule="exact"/>
        <w:ind w:firstLine="640" w:firstLineChars="200"/>
        <w:textAlignment w:val="auto"/>
        <w:rPr>
          <w:rStyle w:val="33"/>
          <w:rFonts w:hint="eastAsia"/>
          <w:color w:val="auto"/>
          <w:sz w:val="32"/>
          <w:szCs w:val="32"/>
          <w:highlight w:val="none"/>
        </w:rPr>
      </w:pPr>
      <w:r>
        <w:rPr>
          <w:rStyle w:val="33"/>
          <w:rFonts w:hint="eastAsia"/>
          <w:color w:val="auto"/>
          <w:sz w:val="32"/>
          <w:szCs w:val="32"/>
          <w:highlight w:val="none"/>
        </w:rPr>
        <w:t>具有不同功率的内窥镜冷光源可作为同一注册单元。如采用氙灯为照明源的两种不同功率的医用内窥镜冷光源，一种功率为350W，一种功率为150W，若无特殊情况，则选350W氙灯光源为典型产品是适宜的。</w:t>
      </w:r>
    </w:p>
    <w:p>
      <w:pPr>
        <w:keepNext w:val="0"/>
        <w:keepLines w:val="0"/>
        <w:pageBreakBefore w:val="0"/>
        <w:numPr>
          <w:ilvl w:val="0"/>
          <w:numId w:val="5"/>
        </w:numPr>
        <w:kinsoku/>
        <w:wordWrap/>
        <w:overflowPunct/>
        <w:topLinePunct w:val="0"/>
        <w:bidi w:val="0"/>
        <w:adjustRightInd/>
        <w:spacing w:line="560" w:lineRule="exact"/>
        <w:ind w:firstLine="640" w:firstLineChars="200"/>
        <w:textAlignment w:val="auto"/>
        <w:outlineLvl w:val="1"/>
        <w:rPr>
          <w:rFonts w:hint="eastAsia"/>
          <w:bCs/>
          <w:color w:val="auto"/>
          <w:szCs w:val="32"/>
          <w:highlight w:val="none"/>
        </w:rPr>
      </w:pPr>
      <w:r>
        <w:rPr>
          <w:rFonts w:hint="eastAsia"/>
          <w:bCs/>
          <w:color w:val="auto"/>
          <w:szCs w:val="32"/>
          <w:highlight w:val="none"/>
        </w:rPr>
        <w:t>检验报告中样品组成应与申报产品的结构组成一致。检验报告应提供软件版本界面照片</w:t>
      </w:r>
      <w:r>
        <w:rPr>
          <w:rFonts w:hint="eastAsia"/>
          <w:color w:val="auto"/>
          <w:szCs w:val="32"/>
          <w:highlight w:val="none"/>
        </w:rPr>
        <w:t>(如适用)</w:t>
      </w:r>
      <w:r>
        <w:rPr>
          <w:rFonts w:hint="eastAsia"/>
          <w:bCs/>
          <w:color w:val="auto"/>
          <w:szCs w:val="32"/>
          <w:highlight w:val="none"/>
        </w:rPr>
        <w:t>或列明软件版本信息，有用户界面的软件体现软件发布版本、软件完整版本，无用户界面的软件体现软件完整版本。</w:t>
      </w:r>
    </w:p>
    <w:p>
      <w:pPr>
        <w:keepNext w:val="0"/>
        <w:keepLines w:val="0"/>
        <w:pageBreakBefore w:val="0"/>
        <w:numPr>
          <w:ilvl w:val="0"/>
          <w:numId w:val="5"/>
        </w:numPr>
        <w:kinsoku/>
        <w:wordWrap/>
        <w:overflowPunct/>
        <w:topLinePunct w:val="0"/>
        <w:bidi w:val="0"/>
        <w:adjustRightInd/>
        <w:spacing w:line="560" w:lineRule="exact"/>
        <w:ind w:firstLine="640" w:firstLineChars="200"/>
        <w:textAlignment w:val="auto"/>
        <w:outlineLvl w:val="1"/>
        <w:rPr>
          <w:rFonts w:hint="eastAsia"/>
          <w:bCs/>
          <w:color w:val="auto"/>
          <w:szCs w:val="32"/>
          <w:highlight w:val="none"/>
        </w:rPr>
      </w:pPr>
      <w:r>
        <w:rPr>
          <w:rFonts w:hint="eastAsia"/>
          <w:bCs/>
          <w:color w:val="auto"/>
          <w:szCs w:val="32"/>
          <w:highlight w:val="none"/>
        </w:rPr>
        <w:t>具有特定配合使用性质的设备，在测试时应考虑配用性。</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52" w:name="_Toc230"/>
      <w:bookmarkStart w:id="53" w:name="_Toc9427"/>
      <w:bookmarkStart w:id="54" w:name="_Toc28465"/>
      <w:r>
        <w:rPr>
          <w:bCs/>
          <w:color w:val="auto"/>
          <w:szCs w:val="32"/>
          <w:highlight w:val="none"/>
        </w:rPr>
        <w:t>4.研究资料</w:t>
      </w:r>
      <w:bookmarkEnd w:id="52"/>
      <w:bookmarkEnd w:id="53"/>
      <w:bookmarkEnd w:id="54"/>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eastAsia="楷体_GB2312" w:cs="Times New Roman"/>
          <w:bCs/>
          <w:color w:val="auto"/>
          <w:sz w:val="32"/>
          <w:szCs w:val="32"/>
          <w:highlight w:val="none"/>
        </w:rPr>
      </w:pPr>
      <w:r>
        <w:rPr>
          <w:rFonts w:ascii="Times New Roman" w:hAnsi="Times New Roman" w:eastAsia="仿宋_GB2312" w:cs="Times New Roman"/>
          <w:color w:val="auto"/>
          <w:sz w:val="32"/>
          <w:szCs w:val="32"/>
          <w:highlight w:val="none"/>
        </w:rPr>
        <w:t>提供非临床研究综述，逐项描述所开展的研究，概述研究方法和研究结论。根据非临床研究综述，提供相应的研究资料。</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55" w:name="_Toc27148"/>
      <w:bookmarkStart w:id="56" w:name="_Toc11514"/>
      <w:bookmarkStart w:id="57" w:name="_Toc22479"/>
      <w:r>
        <w:rPr>
          <w:bCs/>
          <w:color w:val="auto"/>
          <w:szCs w:val="32"/>
          <w:highlight w:val="none"/>
        </w:rPr>
        <w:t>4.1物理和化学性能研究</w:t>
      </w:r>
      <w:bookmarkEnd w:id="55"/>
      <w:bookmarkEnd w:id="56"/>
      <w:bookmarkEnd w:id="57"/>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rFonts w:eastAsia="仿宋_GB2312"/>
          <w:bCs/>
          <w:color w:val="auto"/>
          <w:sz w:val="32"/>
          <w:szCs w:val="32"/>
          <w:highlight w:val="none"/>
        </w:rPr>
      </w:pPr>
      <w:r>
        <w:rPr>
          <w:rFonts w:eastAsia="仿宋_GB2312"/>
          <w:bCs/>
          <w:color w:val="auto"/>
          <w:sz w:val="32"/>
          <w:szCs w:val="32"/>
          <w:highlight w:val="none"/>
        </w:rPr>
        <w:t>产品涉及的相关标准见附表3。</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Style w:val="33"/>
          <w:color w:val="auto"/>
          <w:sz w:val="32"/>
          <w:szCs w:val="32"/>
          <w:highlight w:val="none"/>
        </w:rPr>
        <w:t>应结合产品的</w:t>
      </w:r>
      <w:r>
        <w:rPr>
          <w:rStyle w:val="33"/>
          <w:rFonts w:hint="eastAsia"/>
          <w:color w:val="auto"/>
          <w:sz w:val="32"/>
          <w:szCs w:val="32"/>
          <w:highlight w:val="none"/>
        </w:rPr>
        <w:t>工作原理</w:t>
      </w:r>
      <w:r>
        <w:rPr>
          <w:rStyle w:val="33"/>
          <w:color w:val="auto"/>
          <w:sz w:val="32"/>
          <w:szCs w:val="32"/>
          <w:highlight w:val="none"/>
        </w:rPr>
        <w:t>详述性能指标（如</w:t>
      </w:r>
      <w:r>
        <w:rPr>
          <w:rStyle w:val="33"/>
          <w:rFonts w:hint="eastAsia"/>
          <w:color w:val="auto"/>
          <w:sz w:val="32"/>
          <w:szCs w:val="32"/>
          <w:highlight w:val="none"/>
        </w:rPr>
        <w:t>显色指数</w:t>
      </w:r>
      <w:r>
        <w:rPr>
          <w:rStyle w:val="33"/>
          <w:color w:val="auto"/>
          <w:sz w:val="32"/>
          <w:szCs w:val="32"/>
          <w:highlight w:val="none"/>
        </w:rPr>
        <w:t>、</w:t>
      </w:r>
      <w:r>
        <w:rPr>
          <w:rStyle w:val="33"/>
          <w:rFonts w:hint="eastAsia"/>
          <w:color w:val="auto"/>
          <w:sz w:val="32"/>
          <w:szCs w:val="32"/>
          <w:highlight w:val="none"/>
        </w:rPr>
        <w:t>色温</w:t>
      </w:r>
      <w:r>
        <w:rPr>
          <w:rStyle w:val="33"/>
          <w:color w:val="auto"/>
          <w:sz w:val="32"/>
          <w:szCs w:val="32"/>
          <w:highlight w:val="none"/>
        </w:rPr>
        <w:t>、</w:t>
      </w:r>
      <w:r>
        <w:rPr>
          <w:color w:val="auto"/>
          <w:szCs w:val="32"/>
          <w:highlight w:val="none"/>
        </w:rPr>
        <w:t>红绿蓝光的辐通量比</w:t>
      </w:r>
      <w:r>
        <w:rPr>
          <w:rStyle w:val="33"/>
          <w:color w:val="auto"/>
          <w:sz w:val="32"/>
          <w:szCs w:val="32"/>
          <w:highlight w:val="none"/>
        </w:rPr>
        <w:t>等）确定的依据。</w:t>
      </w:r>
      <w:r>
        <w:rPr>
          <w:color w:val="auto"/>
          <w:szCs w:val="32"/>
          <w:highlight w:val="none"/>
        </w:rPr>
        <w:t>详述产品调节</w:t>
      </w:r>
      <w:r>
        <w:rPr>
          <w:rFonts w:hint="eastAsia"/>
          <w:color w:val="auto"/>
          <w:szCs w:val="32"/>
          <w:highlight w:val="none"/>
        </w:rPr>
        <w:t>亮度</w:t>
      </w:r>
      <w:r>
        <w:rPr>
          <w:color w:val="auto"/>
          <w:szCs w:val="32"/>
          <w:highlight w:val="none"/>
        </w:rPr>
        <w:t>的方式，是调节脉宽还是提高功率</w:t>
      </w:r>
      <w:r>
        <w:rPr>
          <w:rFonts w:hint="eastAsia"/>
          <w:color w:val="auto"/>
          <w:szCs w:val="32"/>
          <w:highlight w:val="none"/>
        </w:rPr>
        <w:t>，</w:t>
      </w:r>
      <w:r>
        <w:rPr>
          <w:color w:val="auto"/>
          <w:szCs w:val="32"/>
          <w:highlight w:val="none"/>
        </w:rPr>
        <w:t>提供光源的输出光谱图。指标的确定依据应明确、具体，并应描述其所考虑的实际临床应用出发点，以及相关指标和临床使用的关联性。还应考虑设计输入来源以及临床意义，所采用的标准或方法、采用的原因及理论基础。</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申报产品若同时具备其他功能，应提交详细资料说明工作原理并提交相应的验证资料。</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r>
        <w:rPr>
          <w:bCs/>
          <w:color w:val="auto"/>
          <w:szCs w:val="32"/>
          <w:highlight w:val="none"/>
        </w:rPr>
        <w:t>4.2电气系统安全性研究</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应提供电气安全性及电磁兼容性的研究资料。</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szCs w:val="32"/>
          <w:highlight w:val="none"/>
        </w:rPr>
      </w:pPr>
      <w:r>
        <w:rPr>
          <w:color w:val="auto"/>
          <w:szCs w:val="32"/>
          <w:highlight w:val="none"/>
        </w:rPr>
        <w:t>目前与</w:t>
      </w:r>
      <w:r>
        <w:rPr>
          <w:rFonts w:hint="eastAsia"/>
          <w:color w:val="auto"/>
          <w:szCs w:val="32"/>
          <w:highlight w:val="none"/>
        </w:rPr>
        <w:t>医用内窥镜冷光源</w:t>
      </w:r>
      <w:r>
        <w:rPr>
          <w:color w:val="auto"/>
          <w:szCs w:val="32"/>
          <w:highlight w:val="none"/>
        </w:rPr>
        <w:t>设备相关的常用标准见附件2。</w:t>
      </w:r>
      <w:r>
        <w:rPr>
          <w:rStyle w:val="33"/>
          <w:color w:val="auto"/>
          <w:sz w:val="32"/>
          <w:szCs w:val="32"/>
          <w:highlight w:val="none"/>
        </w:rPr>
        <w:t>附件2中标准包括了研究资料中经常涉及到的标准，申请人还可根据产品自身特点引用其他相关的标准（国际标准、行业标准等）。若适用的强制性标准中有不适用的条款，还应说明不适用理由。</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58" w:name="_Toc9366"/>
      <w:bookmarkStart w:id="59" w:name="_Toc2951"/>
      <w:r>
        <w:rPr>
          <w:bCs/>
          <w:color w:val="auto"/>
          <w:szCs w:val="32"/>
          <w:highlight w:val="none"/>
        </w:rPr>
        <w:t>4.3联合使用</w:t>
      </w:r>
      <w:bookmarkEnd w:id="58"/>
      <w:bookmarkEnd w:id="59"/>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提供证明联合使用安全有效的研究资料，包括</w:t>
      </w:r>
      <w:r>
        <w:rPr>
          <w:rFonts w:hint="eastAsia"/>
          <w:color w:val="auto"/>
          <w:szCs w:val="32"/>
          <w:highlight w:val="none"/>
        </w:rPr>
        <w:t>医用内窥镜冷光源</w:t>
      </w:r>
      <w:r>
        <w:rPr>
          <w:rFonts w:hint="eastAsia"/>
          <w:color w:val="auto"/>
          <w:szCs w:val="32"/>
          <w:highlight w:val="none"/>
          <w:lang w:eastAsia="zh-CN"/>
        </w:rPr>
        <w:t>产品</w:t>
      </w:r>
      <w:r>
        <w:rPr>
          <w:rFonts w:ascii="Times New Roman" w:hAnsi="Times New Roman" w:eastAsia="仿宋_GB2312" w:cs="Times New Roman"/>
          <w:color w:val="auto"/>
          <w:sz w:val="32"/>
          <w:szCs w:val="32"/>
          <w:highlight w:val="none"/>
        </w:rPr>
        <w:t>与</w:t>
      </w:r>
      <w:r>
        <w:rPr>
          <w:rFonts w:hint="eastAsia" w:ascii="Times New Roman" w:hAnsi="Times New Roman" w:eastAsia="仿宋_GB2312" w:cs="Times New Roman"/>
          <w:color w:val="auto"/>
          <w:sz w:val="32"/>
          <w:szCs w:val="32"/>
          <w:highlight w:val="none"/>
        </w:rPr>
        <w:t>电子内窥镜图像处理器或内窥镜摄像系统</w:t>
      </w:r>
      <w:r>
        <w:rPr>
          <w:rFonts w:ascii="Times New Roman" w:hAnsi="Times New Roman" w:eastAsia="仿宋_GB2312" w:cs="Times New Roman"/>
          <w:color w:val="auto"/>
          <w:sz w:val="32"/>
          <w:szCs w:val="32"/>
          <w:highlight w:val="none"/>
        </w:rPr>
        <w:t>的联合使用，以及</w:t>
      </w:r>
      <w:r>
        <w:rPr>
          <w:rFonts w:hint="eastAsia" w:cs="Times New Roman"/>
          <w:color w:val="auto"/>
          <w:sz w:val="32"/>
          <w:szCs w:val="32"/>
          <w:highlight w:val="none"/>
          <w:lang w:eastAsia="zh-CN"/>
        </w:rPr>
        <w:t>与内窥镜</w:t>
      </w:r>
      <w:r>
        <w:rPr>
          <w:rFonts w:ascii="Times New Roman" w:hAnsi="Times New Roman" w:eastAsia="仿宋_GB2312" w:cs="Times New Roman"/>
          <w:color w:val="auto"/>
          <w:sz w:val="32"/>
          <w:szCs w:val="32"/>
          <w:highlight w:val="none"/>
        </w:rPr>
        <w:t>的联合使用。明确互联基本信息（连接类型、接口、协议、最低性能）、联合使用风险及控制措施、联合使用上的限制，兼容性研究等。相关研究应能证明数据传输的完整性，以及</w:t>
      </w:r>
      <w:r>
        <w:rPr>
          <w:rFonts w:hint="eastAsia" w:cs="Times New Roman"/>
          <w:color w:val="auto"/>
          <w:sz w:val="32"/>
          <w:szCs w:val="32"/>
          <w:highlight w:val="none"/>
          <w:lang w:eastAsia="zh-CN"/>
        </w:rPr>
        <w:t>光能传输的</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对于那些均匀性（YY 1081中4.3.1）指标超过0.5的光源，制造商应提出在该光源最大光通量下能适用的光纤条件</w:t>
      </w:r>
      <w:r>
        <w:rPr>
          <w:rFonts w:hint="eastAsia" w:cs="Times New Roman"/>
          <w:color w:val="auto"/>
          <w:sz w:val="32"/>
          <w:szCs w:val="32"/>
          <w:highlight w:val="none"/>
          <w:lang w:eastAsia="zh-CN"/>
        </w:rPr>
        <w:t>并在联合使用中体现相关研究内容</w:t>
      </w:r>
      <w:r>
        <w:rPr>
          <w:rFonts w:hint="eastAsia" w:ascii="Times New Roman" w:hAnsi="Times New Roman" w:eastAsia="仿宋_GB2312" w:cs="Times New Roman"/>
          <w:color w:val="auto"/>
          <w:sz w:val="32"/>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bookmarkStart w:id="60" w:name="_Toc11535"/>
      <w:bookmarkStart w:id="61" w:name="_Toc8203"/>
      <w:r>
        <w:rPr>
          <w:color w:val="auto"/>
          <w:szCs w:val="32"/>
          <w:highlight w:val="none"/>
        </w:rPr>
        <w:t>4.4</w:t>
      </w:r>
      <w:bookmarkEnd w:id="60"/>
      <w:bookmarkEnd w:id="61"/>
      <w:r>
        <w:rPr>
          <w:rFonts w:hint="eastAsia"/>
          <w:color w:val="auto"/>
          <w:szCs w:val="32"/>
          <w:highlight w:val="none"/>
        </w:rPr>
        <w:t>光辐射安全研究</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提交</w:t>
      </w:r>
      <w:r>
        <w:rPr>
          <w:rFonts w:hint="eastAsia" w:ascii="仿宋_GB2312" w:eastAsia="仿宋_GB2312"/>
          <w:color w:val="auto"/>
          <w:sz w:val="32"/>
          <w:szCs w:val="32"/>
          <w:highlight w:val="none"/>
        </w:rPr>
        <w:t>光危害的研究分析报告</w:t>
      </w:r>
      <w:r>
        <w:rPr>
          <w:rFonts w:hint="eastAsia" w:ascii="仿宋_GB2312"/>
          <w:color w:val="auto"/>
          <w:sz w:val="32"/>
          <w:szCs w:val="32"/>
          <w:highlight w:val="none"/>
          <w:lang w:eastAsia="zh-CN"/>
        </w:rPr>
        <w:t>。</w:t>
      </w:r>
      <w:r>
        <w:rPr>
          <w:rFonts w:hint="eastAsia"/>
          <w:color w:val="auto"/>
          <w:szCs w:val="32"/>
          <w:highlight w:val="none"/>
        </w:rPr>
        <w:t>按照GB/T 20145对光源的光辐射安全性进行研究。如果光源为LED冷光源，检测方法还应符合YY/T 1534</w:t>
      </w:r>
      <w:r>
        <w:rPr>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outlineLvl w:val="2"/>
        <w:rPr>
          <w:color w:val="auto"/>
          <w:szCs w:val="32"/>
          <w:highlight w:val="none"/>
        </w:rPr>
      </w:pPr>
      <w:bookmarkStart w:id="62" w:name="_Toc26429"/>
      <w:bookmarkStart w:id="63" w:name="_Toc27195"/>
      <w:bookmarkStart w:id="64" w:name="_Toc1114"/>
      <w:r>
        <w:rPr>
          <w:color w:val="auto"/>
          <w:szCs w:val="32"/>
          <w:highlight w:val="none"/>
        </w:rPr>
        <w:t>4.5软件研究</w:t>
      </w:r>
      <w:bookmarkEnd w:id="62"/>
      <w:bookmarkEnd w:id="63"/>
      <w:bookmarkEnd w:id="64"/>
      <w:r>
        <w:rPr>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outlineLvl w:val="2"/>
        <w:rPr>
          <w:rStyle w:val="33"/>
          <w:color w:val="auto"/>
          <w:sz w:val="32"/>
          <w:szCs w:val="32"/>
          <w:highlight w:val="none"/>
        </w:rPr>
      </w:pPr>
      <w:bookmarkStart w:id="65" w:name="_Toc2088"/>
      <w:r>
        <w:rPr>
          <w:rStyle w:val="33"/>
          <w:rFonts w:hint="eastAsia"/>
          <w:color w:val="auto"/>
          <w:sz w:val="32"/>
          <w:szCs w:val="32"/>
          <w:highlight w:val="none"/>
        </w:rPr>
        <w:t xml:space="preserve">（1）软件。产品软件通常是软件组件，提供软件的研究资料，包括基本信息、实现过程、核心功能、结论等内容，详尽程度取决于软件安全性级别（严重、中等、轻微）。其中，基本信息包括软件标识、安全性级别、结构功能、物理拓扑、运行环境、注册历史，实现过程包括开发概况、风险管理、需求规范、生存周期、验证与确认、可追溯性分析、缺陷管理、更新历史，明确核心功能、核心算法、预期用途的对应关系。 </w:t>
      </w:r>
    </w:p>
    <w:p>
      <w:pPr>
        <w:keepNext w:val="0"/>
        <w:keepLines w:val="0"/>
        <w:pageBreakBefore w:val="0"/>
        <w:kinsoku/>
        <w:wordWrap/>
        <w:overflowPunct/>
        <w:topLinePunct w:val="0"/>
        <w:bidi w:val="0"/>
        <w:adjustRightInd/>
        <w:spacing w:line="560" w:lineRule="exact"/>
        <w:ind w:firstLine="640" w:firstLineChars="200"/>
        <w:textAlignment w:val="auto"/>
        <w:rPr>
          <w:rStyle w:val="33"/>
          <w:rFonts w:eastAsia="宋体"/>
          <w:color w:val="auto"/>
          <w:sz w:val="32"/>
          <w:szCs w:val="32"/>
          <w:highlight w:val="none"/>
        </w:rPr>
      </w:pPr>
      <w:r>
        <w:rPr>
          <w:rStyle w:val="33"/>
          <w:rFonts w:hint="eastAsia"/>
          <w:color w:val="auto"/>
          <w:sz w:val="32"/>
          <w:szCs w:val="32"/>
          <w:highlight w:val="none"/>
        </w:rPr>
        <w:t>（2）网络安全。医用内窥镜冷光源</w:t>
      </w:r>
      <w:r>
        <w:rPr>
          <w:color w:val="auto"/>
          <w:szCs w:val="32"/>
          <w:highlight w:val="none"/>
        </w:rPr>
        <w:t>设备通常不具有网络连接功能，但可能具有用户访问界面，或含有设备数据导出功能</w:t>
      </w:r>
      <w:r>
        <w:rPr>
          <w:rFonts w:hint="eastAsia"/>
          <w:color w:val="auto"/>
          <w:szCs w:val="32"/>
          <w:highlight w:val="none"/>
        </w:rPr>
        <w:t>，或通过摄像系统/图像处理器控制光线等情形。</w:t>
      </w:r>
      <w:r>
        <w:rPr>
          <w:color w:val="auto"/>
          <w:szCs w:val="32"/>
          <w:highlight w:val="none"/>
        </w:rPr>
        <w:t>如适用，可参考</w:t>
      </w:r>
      <w:r>
        <w:rPr>
          <w:rFonts w:hint="eastAsia"/>
          <w:color w:val="auto"/>
          <w:szCs w:val="32"/>
          <w:highlight w:val="none"/>
        </w:rPr>
        <w:t>YY/</w:t>
      </w:r>
      <w:r>
        <w:rPr>
          <w:color w:val="auto"/>
          <w:szCs w:val="32"/>
          <w:highlight w:val="none"/>
        </w:rPr>
        <w:t>T1843</w:t>
      </w:r>
      <w:r>
        <w:rPr>
          <w:rFonts w:hint="eastAsia"/>
          <w:color w:val="auto"/>
          <w:szCs w:val="32"/>
          <w:highlight w:val="none"/>
        </w:rPr>
        <w:t>、</w:t>
      </w:r>
      <w:r>
        <w:rPr>
          <w:color w:val="auto"/>
          <w:szCs w:val="32"/>
          <w:highlight w:val="none"/>
        </w:rPr>
        <w:t>《医疗器械网络安全注册审查指导原则》提供网络安全相关研究资料。</w:t>
      </w:r>
      <w:r>
        <w:rPr>
          <w:rStyle w:val="33"/>
          <w:rFonts w:hint="eastAsia"/>
          <w:color w:val="auto"/>
          <w:sz w:val="32"/>
          <w:szCs w:val="32"/>
          <w:highlight w:val="none"/>
        </w:rPr>
        <w:t xml:space="preserve">网络安全研究资料应包括基本信息、实现过程、漏洞评估、结论等内容，详尽程度取决于软件安全性级别。其中，基本信息包括软件信息、数据架构、网络安全能力、网络安全补丁、安全软件，实现过程包括风险管理、需求规范、验证与确认、可追溯性分析、更新维护计划，漏洞评估明确已知漏洞相关信息。 </w:t>
      </w:r>
    </w:p>
    <w:p>
      <w:pPr>
        <w:keepNext w:val="0"/>
        <w:keepLines w:val="0"/>
        <w:pageBreakBefore w:val="0"/>
        <w:kinsoku/>
        <w:wordWrap/>
        <w:overflowPunct/>
        <w:topLinePunct w:val="0"/>
        <w:bidi w:val="0"/>
        <w:adjustRightInd/>
        <w:spacing w:line="560" w:lineRule="exact"/>
        <w:ind w:firstLine="640" w:firstLineChars="200"/>
        <w:textAlignment w:val="auto"/>
        <w:rPr>
          <w:rStyle w:val="33"/>
          <w:rFonts w:ascii="方正仿宋_GBK" w:hAnsi="方正仿宋_GBK" w:eastAsia="方正仿宋_GBK" w:cs="方正仿宋_GBK"/>
          <w:color w:val="auto"/>
          <w:sz w:val="32"/>
          <w:szCs w:val="32"/>
          <w:highlight w:val="none"/>
        </w:rPr>
      </w:pPr>
      <w:r>
        <w:rPr>
          <w:rStyle w:val="33"/>
          <w:rFonts w:hint="eastAsia" w:eastAsia="宋体"/>
          <w:color w:val="auto"/>
          <w:sz w:val="32"/>
          <w:szCs w:val="32"/>
          <w:highlight w:val="none"/>
        </w:rPr>
        <w:t xml:space="preserve"> （</w:t>
      </w:r>
      <w:r>
        <w:rPr>
          <w:rStyle w:val="33"/>
          <w:rFonts w:hint="eastAsia" w:eastAsia="宋体"/>
          <w:color w:val="auto"/>
          <w:sz w:val="32"/>
          <w:szCs w:val="32"/>
          <w:highlight w:val="none"/>
          <w:lang w:val="en-US" w:eastAsia="zh-CN"/>
        </w:rPr>
        <w:t>3</w:t>
      </w:r>
      <w:r>
        <w:rPr>
          <w:rStyle w:val="33"/>
          <w:rFonts w:hint="eastAsia" w:eastAsia="宋体"/>
          <w:color w:val="auto"/>
          <w:sz w:val="32"/>
          <w:szCs w:val="32"/>
          <w:highlight w:val="none"/>
        </w:rPr>
        <w:t>）</w:t>
      </w:r>
      <w:r>
        <w:rPr>
          <w:rStyle w:val="33"/>
          <w:rFonts w:hint="eastAsia" w:ascii="方正仿宋_GBK" w:hAnsi="方正仿宋_GBK" w:eastAsia="方正仿宋_GBK" w:cs="方正仿宋_GBK"/>
          <w:color w:val="auto"/>
          <w:sz w:val="32"/>
          <w:szCs w:val="32"/>
          <w:highlight w:val="none"/>
        </w:rPr>
        <w:t>互操作性。产品若通过电子接口与其他医疗器械或非医疗器械交换并使用信息，</w:t>
      </w:r>
      <w:r>
        <w:rPr>
          <w:rStyle w:val="33"/>
          <w:rFonts w:hint="eastAsia" w:ascii="方正仿宋_GBK" w:hAnsi="方正仿宋_GBK" w:eastAsia="方正仿宋_GBK" w:cs="方正仿宋_GBK"/>
          <w:color w:val="auto"/>
          <w:sz w:val="32"/>
          <w:szCs w:val="32"/>
          <w:highlight w:val="none"/>
          <w:lang w:eastAsia="zh-CN"/>
        </w:rPr>
        <w:t>需</w:t>
      </w:r>
      <w:r>
        <w:rPr>
          <w:rStyle w:val="33"/>
          <w:rFonts w:hint="eastAsia" w:ascii="方正仿宋_GBK" w:hAnsi="方正仿宋_GBK" w:eastAsia="方正仿宋_GBK" w:cs="方正仿宋_GBK"/>
          <w:color w:val="auto"/>
          <w:sz w:val="32"/>
          <w:szCs w:val="32"/>
          <w:highlight w:val="none"/>
        </w:rPr>
        <w:t>提供互操作性研究资料，包括基本信息、需求规范、风险管理、验证与确认、维护计划等内容。 如无，可不适用并说明理由。</w:t>
      </w:r>
    </w:p>
    <w:p>
      <w:pPr>
        <w:keepNext w:val="0"/>
        <w:keepLines w:val="0"/>
        <w:pageBreakBefore w:val="0"/>
        <w:kinsoku/>
        <w:wordWrap/>
        <w:overflowPunct/>
        <w:topLinePunct w:val="0"/>
        <w:bidi w:val="0"/>
        <w:adjustRightInd/>
        <w:spacing w:line="560" w:lineRule="exact"/>
        <w:ind w:firstLine="640" w:firstLineChars="200"/>
        <w:textAlignment w:val="auto"/>
        <w:rPr>
          <w:rStyle w:val="33"/>
          <w:rFonts w:ascii="方正仿宋_GBK" w:hAnsi="方正仿宋_GBK" w:cs="方正仿宋_GBK"/>
          <w:color w:val="auto"/>
          <w:sz w:val="32"/>
          <w:szCs w:val="32"/>
          <w:highlight w:val="none"/>
        </w:rPr>
      </w:pPr>
      <w:r>
        <w:rPr>
          <w:rStyle w:val="33"/>
          <w:rFonts w:hint="eastAsia" w:eastAsia="宋体"/>
          <w:color w:val="auto"/>
          <w:sz w:val="32"/>
          <w:szCs w:val="32"/>
          <w:highlight w:val="none"/>
        </w:rPr>
        <w:t>（</w:t>
      </w:r>
      <w:r>
        <w:rPr>
          <w:rStyle w:val="33"/>
          <w:rFonts w:hint="eastAsia" w:eastAsia="宋体"/>
          <w:color w:val="auto"/>
          <w:sz w:val="32"/>
          <w:szCs w:val="32"/>
          <w:highlight w:val="none"/>
          <w:lang w:val="en-US" w:eastAsia="zh-CN"/>
        </w:rPr>
        <w:t>4</w:t>
      </w:r>
      <w:r>
        <w:rPr>
          <w:rStyle w:val="33"/>
          <w:rFonts w:hint="eastAsia" w:eastAsia="宋体"/>
          <w:color w:val="auto"/>
          <w:sz w:val="32"/>
          <w:szCs w:val="32"/>
          <w:highlight w:val="none"/>
        </w:rPr>
        <w:t>）</w:t>
      </w:r>
      <w:r>
        <w:rPr>
          <w:rStyle w:val="33"/>
          <w:rFonts w:hint="eastAsia" w:ascii="方正仿宋_GBK" w:hAnsi="方正仿宋_GBK" w:eastAsia="方正仿宋_GBK" w:cs="方正仿宋_GBK"/>
          <w:color w:val="auto"/>
          <w:sz w:val="32"/>
          <w:szCs w:val="32"/>
          <w:highlight w:val="none"/>
        </w:rPr>
        <w:t>应提交GB/T 25000.51标准</w:t>
      </w:r>
      <w:r>
        <w:rPr>
          <w:rFonts w:hint="eastAsia"/>
          <w:color w:val="auto"/>
          <w:szCs w:val="32"/>
          <w:highlight w:val="none"/>
        </w:rPr>
        <w:t>自测报告或第三方检验报告。</w:t>
      </w:r>
    </w:p>
    <w:bookmarkEnd w:id="65"/>
    <w:p>
      <w:pPr>
        <w:keepNext w:val="0"/>
        <w:keepLines w:val="0"/>
        <w:pageBreakBefore w:val="0"/>
        <w:kinsoku/>
        <w:wordWrap/>
        <w:overflowPunct/>
        <w:topLinePunct w:val="0"/>
        <w:bidi w:val="0"/>
        <w:adjustRightInd/>
        <w:spacing w:line="560" w:lineRule="exact"/>
        <w:ind w:firstLine="640" w:firstLineChars="200"/>
        <w:textAlignment w:val="auto"/>
        <w:outlineLvl w:val="2"/>
        <w:rPr>
          <w:color w:val="auto"/>
          <w:szCs w:val="32"/>
          <w:highlight w:val="none"/>
        </w:rPr>
      </w:pPr>
      <w:bookmarkStart w:id="66" w:name="_Toc6223"/>
      <w:bookmarkStart w:id="67" w:name="_Toc26768"/>
      <w:bookmarkStart w:id="68" w:name="_Toc29275"/>
      <w:r>
        <w:rPr>
          <w:color w:val="auto"/>
          <w:szCs w:val="32"/>
          <w:highlight w:val="none"/>
        </w:rPr>
        <w:t>4.</w:t>
      </w:r>
      <w:r>
        <w:rPr>
          <w:rFonts w:hint="eastAsia"/>
          <w:color w:val="auto"/>
          <w:szCs w:val="32"/>
          <w:highlight w:val="none"/>
        </w:rPr>
        <w:t>6</w:t>
      </w:r>
      <w:r>
        <w:rPr>
          <w:color w:val="auto"/>
          <w:szCs w:val="32"/>
          <w:highlight w:val="none"/>
        </w:rPr>
        <w:t>生物学特性研究</w:t>
      </w:r>
      <w:bookmarkEnd w:id="66"/>
      <w:bookmarkEnd w:id="67"/>
      <w:bookmarkEnd w:id="68"/>
      <w:r>
        <w:rPr>
          <w:color w:val="auto"/>
          <w:szCs w:val="32"/>
          <w:highlight w:val="none"/>
        </w:rPr>
        <w:tab/>
      </w:r>
      <w:r>
        <w:rPr>
          <w:color w:val="auto"/>
          <w:szCs w:val="32"/>
          <w:highlight w:val="none"/>
        </w:rPr>
        <w:t xml:space="preserve"> </w:t>
      </w:r>
    </w:p>
    <w:p>
      <w:pPr>
        <w:keepNext w:val="0"/>
        <w:keepLines w:val="0"/>
        <w:pageBreakBefore w:val="0"/>
        <w:kinsoku/>
        <w:wordWrap/>
        <w:overflowPunct/>
        <w:topLinePunct w:val="0"/>
        <w:bidi w:val="0"/>
        <w:adjustRightInd/>
        <w:spacing w:line="560" w:lineRule="exact"/>
        <w:ind w:firstLine="624" w:firstLineChars="200"/>
        <w:textAlignment w:val="auto"/>
        <w:rPr>
          <w:color w:val="auto"/>
          <w:spacing w:val="-4"/>
          <w:szCs w:val="32"/>
          <w:highlight w:val="none"/>
        </w:rPr>
      </w:pPr>
      <w:r>
        <w:rPr>
          <w:rFonts w:hint="eastAsia"/>
          <w:color w:val="auto"/>
          <w:spacing w:val="-4"/>
          <w:szCs w:val="32"/>
          <w:highlight w:val="none"/>
        </w:rPr>
        <w:t>本产品不与患者直接接触。</w:t>
      </w:r>
    </w:p>
    <w:p>
      <w:pPr>
        <w:keepNext w:val="0"/>
        <w:keepLines w:val="0"/>
        <w:pageBreakBefore w:val="0"/>
        <w:kinsoku/>
        <w:wordWrap/>
        <w:overflowPunct/>
        <w:topLinePunct w:val="0"/>
        <w:bidi w:val="0"/>
        <w:adjustRightInd/>
        <w:spacing w:line="560" w:lineRule="exact"/>
        <w:ind w:firstLine="640" w:firstLineChars="200"/>
        <w:textAlignment w:val="auto"/>
        <w:outlineLvl w:val="2"/>
        <w:rPr>
          <w:color w:val="auto"/>
          <w:szCs w:val="32"/>
          <w:highlight w:val="none"/>
        </w:rPr>
      </w:pPr>
      <w:bookmarkStart w:id="69" w:name="_Toc19412"/>
      <w:bookmarkStart w:id="70" w:name="_Toc27716"/>
      <w:bookmarkStart w:id="71" w:name="_Toc17753"/>
      <w:r>
        <w:rPr>
          <w:rStyle w:val="33"/>
          <w:color w:val="auto"/>
          <w:sz w:val="32"/>
          <w:highlight w:val="none"/>
        </w:rPr>
        <w:t>4.</w:t>
      </w:r>
      <w:r>
        <w:rPr>
          <w:rStyle w:val="33"/>
          <w:rFonts w:hint="eastAsia"/>
          <w:color w:val="auto"/>
          <w:sz w:val="32"/>
          <w:highlight w:val="none"/>
        </w:rPr>
        <w:t>7</w:t>
      </w:r>
      <w:r>
        <w:rPr>
          <w:rStyle w:val="33"/>
          <w:color w:val="auto"/>
          <w:sz w:val="32"/>
          <w:highlight w:val="none"/>
        </w:rPr>
        <w:t>清</w:t>
      </w:r>
      <w:r>
        <w:rPr>
          <w:rStyle w:val="33"/>
          <w:color w:val="auto"/>
          <w:sz w:val="32"/>
          <w:szCs w:val="32"/>
          <w:highlight w:val="none"/>
        </w:rPr>
        <w:t>洁</w:t>
      </w:r>
      <w:r>
        <w:rPr>
          <w:rStyle w:val="33"/>
          <w:color w:val="auto"/>
          <w:sz w:val="32"/>
          <w:highlight w:val="none"/>
        </w:rPr>
        <w:t>、消毒研究</w:t>
      </w:r>
      <w:bookmarkEnd w:id="69"/>
      <w:bookmarkEnd w:id="70"/>
      <w:bookmarkEnd w:id="71"/>
      <w:r>
        <w:rPr>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szCs w:val="32"/>
          <w:highlight w:val="none"/>
        </w:rPr>
      </w:pPr>
      <w:r>
        <w:rPr>
          <w:rStyle w:val="33"/>
          <w:rFonts w:hint="eastAsia"/>
          <w:color w:val="auto"/>
          <w:sz w:val="32"/>
          <w:szCs w:val="32"/>
          <w:highlight w:val="none"/>
        </w:rPr>
        <w:t>内窥镜冷光源</w:t>
      </w:r>
      <w:r>
        <w:rPr>
          <w:color w:val="auto"/>
          <w:szCs w:val="32"/>
          <w:highlight w:val="none"/>
        </w:rPr>
        <w:t>设备</w:t>
      </w:r>
      <w:r>
        <w:rPr>
          <w:rFonts w:hint="eastAsia"/>
          <w:color w:val="auto"/>
          <w:szCs w:val="32"/>
          <w:highlight w:val="none"/>
        </w:rPr>
        <w:t>通常</w:t>
      </w:r>
      <w:r>
        <w:rPr>
          <w:rStyle w:val="33"/>
          <w:color w:val="auto"/>
          <w:sz w:val="32"/>
          <w:szCs w:val="32"/>
          <w:highlight w:val="none"/>
        </w:rPr>
        <w:t>需要</w:t>
      </w:r>
      <w:r>
        <w:rPr>
          <w:rStyle w:val="33"/>
          <w:rFonts w:hint="eastAsia"/>
          <w:color w:val="auto"/>
          <w:sz w:val="32"/>
          <w:szCs w:val="32"/>
          <w:highlight w:val="none"/>
        </w:rPr>
        <w:t>常规</w:t>
      </w:r>
      <w:r>
        <w:rPr>
          <w:rStyle w:val="33"/>
          <w:color w:val="auto"/>
          <w:sz w:val="32"/>
          <w:szCs w:val="32"/>
          <w:highlight w:val="none"/>
        </w:rPr>
        <w:t>清洁</w:t>
      </w:r>
      <w:r>
        <w:rPr>
          <w:rStyle w:val="33"/>
          <w:rFonts w:hint="eastAsia"/>
          <w:color w:val="auto"/>
          <w:sz w:val="32"/>
          <w:szCs w:val="32"/>
          <w:highlight w:val="none"/>
        </w:rPr>
        <w:t>和</w:t>
      </w:r>
      <w:r>
        <w:rPr>
          <w:rStyle w:val="33"/>
          <w:color w:val="auto"/>
          <w:sz w:val="32"/>
          <w:szCs w:val="32"/>
          <w:highlight w:val="none"/>
        </w:rPr>
        <w:t>消毒</w:t>
      </w:r>
      <w:r>
        <w:rPr>
          <w:rStyle w:val="33"/>
          <w:rFonts w:hint="eastAsia"/>
          <w:color w:val="auto"/>
          <w:sz w:val="32"/>
          <w:szCs w:val="32"/>
          <w:highlight w:val="none"/>
        </w:rPr>
        <w:t>，可按照《临床消毒规范》等指南文件，明确清洁和消毒方法，并与说明书相关内容一致。若使用其他方法，应明确清洁和消毒方法并提交清洁、消毒验证资料。</w:t>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72" w:name="_Toc13941"/>
      <w:bookmarkStart w:id="73" w:name="_Toc19733"/>
      <w:bookmarkStart w:id="74" w:name="_Toc2501"/>
      <w:r>
        <w:rPr>
          <w:bCs/>
          <w:color w:val="auto"/>
          <w:szCs w:val="32"/>
          <w:highlight w:val="none"/>
        </w:rPr>
        <w:t>5稳定性研究</w:t>
      </w:r>
      <w:bookmarkEnd w:id="72"/>
      <w:bookmarkEnd w:id="73"/>
      <w:bookmarkEnd w:id="74"/>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outlineLvl w:val="1"/>
        <w:rPr>
          <w:bCs/>
          <w:color w:val="auto"/>
          <w:szCs w:val="32"/>
          <w:highlight w:val="none"/>
        </w:rPr>
      </w:pPr>
      <w:bookmarkStart w:id="75" w:name="_Toc21669"/>
      <w:bookmarkStart w:id="76" w:name="_Toc12708"/>
      <w:bookmarkStart w:id="77" w:name="_Toc28459"/>
      <w:r>
        <w:rPr>
          <w:bCs/>
          <w:color w:val="auto"/>
          <w:szCs w:val="32"/>
          <w:highlight w:val="none"/>
        </w:rPr>
        <w:t>5.1使用稳定性</w:t>
      </w:r>
      <w:bookmarkEnd w:id="75"/>
      <w:bookmarkEnd w:id="76"/>
      <w:bookmarkEnd w:id="77"/>
      <w:r>
        <w:rPr>
          <w:bCs/>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bCs/>
          <w:color w:val="auto"/>
          <w:szCs w:val="32"/>
          <w:highlight w:val="none"/>
        </w:rPr>
      </w:pPr>
      <w:r>
        <w:rPr>
          <w:bCs/>
          <w:color w:val="auto"/>
          <w:szCs w:val="32"/>
          <w:highlight w:val="none"/>
        </w:rPr>
        <w:t>应当提供使用稳定性/可靠性研究资料，证明在规定的使用期限/使用次数内，在正常使用、维护和校准情况下，产品的性能功能满足使用要求。</w:t>
      </w:r>
    </w:p>
    <w:p>
      <w:pPr>
        <w:keepNext w:val="0"/>
        <w:keepLines w:val="0"/>
        <w:pageBreakBefore w:val="0"/>
        <w:kinsoku/>
        <w:wordWrap/>
        <w:overflowPunct/>
        <w:topLinePunct w:val="0"/>
        <w:bidi w:val="0"/>
        <w:adjustRightInd/>
        <w:spacing w:line="560" w:lineRule="exact"/>
        <w:ind w:firstLine="640" w:firstLineChars="200"/>
        <w:textAlignment w:val="auto"/>
        <w:rPr>
          <w:strike/>
          <w:color w:val="auto"/>
          <w:szCs w:val="32"/>
          <w:highlight w:val="none"/>
        </w:rPr>
      </w:pPr>
      <w:r>
        <w:rPr>
          <w:color w:val="auto"/>
          <w:szCs w:val="32"/>
          <w:highlight w:val="none"/>
        </w:rPr>
        <w:t>使用期限的资料可参考《有源医疗器械使用期限指导原则》。建议在老化/疲劳试验后对电气安全、关键性能功能进行验证，例如</w:t>
      </w:r>
      <w:r>
        <w:rPr>
          <w:rFonts w:hint="eastAsia"/>
          <w:color w:val="auto"/>
          <w:szCs w:val="32"/>
          <w:highlight w:val="none"/>
        </w:rPr>
        <w:t>光通量、均匀性</w:t>
      </w:r>
      <w:r>
        <w:rPr>
          <w:color w:val="auto"/>
          <w:szCs w:val="32"/>
          <w:highlight w:val="none"/>
        </w:rPr>
        <w:t>等。</w:t>
      </w:r>
      <w:bookmarkStart w:id="78" w:name="_Toc26428"/>
    </w:p>
    <w:p>
      <w:pPr>
        <w:keepNext w:val="0"/>
        <w:keepLines w:val="0"/>
        <w:pageBreakBefore w:val="0"/>
        <w:kinsoku/>
        <w:wordWrap/>
        <w:overflowPunct/>
        <w:topLinePunct w:val="0"/>
        <w:bidi w:val="0"/>
        <w:adjustRightInd/>
        <w:spacing w:line="560" w:lineRule="exact"/>
        <w:ind w:firstLine="640" w:firstLineChars="200"/>
        <w:textAlignment w:val="auto"/>
        <w:outlineLvl w:val="2"/>
        <w:rPr>
          <w:color w:val="auto"/>
          <w:szCs w:val="32"/>
          <w:highlight w:val="none"/>
        </w:rPr>
      </w:pPr>
      <w:bookmarkStart w:id="79" w:name="_Toc18877"/>
      <w:bookmarkStart w:id="80" w:name="_Toc11962"/>
      <w:r>
        <w:rPr>
          <w:color w:val="auto"/>
          <w:szCs w:val="32"/>
          <w:highlight w:val="none"/>
        </w:rPr>
        <w:t>5.2运输稳定性</w:t>
      </w:r>
      <w:bookmarkEnd w:id="78"/>
      <w:bookmarkEnd w:id="79"/>
      <w:bookmarkEnd w:id="80"/>
      <w:r>
        <w:rPr>
          <w:color w:val="auto"/>
          <w:szCs w:val="32"/>
          <w:highlight w:val="none"/>
        </w:rPr>
        <w:tab/>
      </w:r>
    </w:p>
    <w:p>
      <w:pPr>
        <w:keepNext w:val="0"/>
        <w:keepLines w:val="0"/>
        <w:pageBreakBefore w:val="0"/>
        <w:kinsoku/>
        <w:wordWrap/>
        <w:overflowPunct/>
        <w:topLinePunct w:val="0"/>
        <w:bidi w:val="0"/>
        <w:adjustRightInd/>
        <w:spacing w:line="560" w:lineRule="exact"/>
        <w:ind w:firstLine="640" w:firstLineChars="200"/>
        <w:textAlignment w:val="auto"/>
        <w:rPr>
          <w:rFonts w:eastAsia="仿宋_GB2312"/>
          <w:color w:val="auto"/>
          <w:sz w:val="32"/>
          <w:szCs w:val="32"/>
          <w:highlight w:val="none"/>
        </w:rPr>
      </w:pPr>
      <w:r>
        <w:rPr>
          <w:rFonts w:eastAsia="仿宋_GB2312"/>
          <w:color w:val="auto"/>
          <w:sz w:val="32"/>
          <w:szCs w:val="32"/>
          <w:highlight w:val="none"/>
        </w:rPr>
        <w:t>提供产品的运输稳定性和包装研究资料，证明在规定的运输条件下，运输过程中的环境条件（例如：震动、振动、温度和湿度的波动）不会对产品的特性和性能造成不利影响。</w:t>
      </w:r>
    </w:p>
    <w:p>
      <w:pPr>
        <w:keepNext w:val="0"/>
        <w:keepLines w:val="0"/>
        <w:pageBreakBefore w:val="0"/>
        <w:kinsoku/>
        <w:wordWrap/>
        <w:overflowPunct/>
        <w:topLinePunct w:val="0"/>
        <w:bidi w:val="0"/>
        <w:adjustRightInd/>
        <w:spacing w:line="560" w:lineRule="exact"/>
        <w:ind w:firstLine="640" w:firstLineChars="200"/>
        <w:textAlignment w:val="auto"/>
        <w:outlineLvl w:val="2"/>
        <w:rPr>
          <w:color w:val="auto"/>
          <w:szCs w:val="32"/>
          <w:highlight w:val="none"/>
        </w:rPr>
      </w:pPr>
      <w:r>
        <w:rPr>
          <w:rFonts w:eastAsia="仿宋_GB2312"/>
          <w:color w:val="auto"/>
          <w:sz w:val="32"/>
          <w:szCs w:val="32"/>
          <w:highlight w:val="none"/>
        </w:rPr>
        <w:t>可参照GB/ T 14710标准的要求开展环境试验研究，产品的工作、运输、贮存条件按产品说明书中规定的条件开展研究，研究的项目应包括前述产品技术要求性能指标中</w:t>
      </w:r>
      <w:r>
        <w:rPr>
          <w:rFonts w:hint="eastAsia" w:eastAsia="仿宋_GB2312"/>
          <w:color w:val="auto"/>
          <w:sz w:val="32"/>
          <w:szCs w:val="32"/>
          <w:highlight w:val="none"/>
          <w:lang w:eastAsia="zh-CN"/>
        </w:rPr>
        <w:t>关键性能，如光通量、均匀性</w:t>
      </w:r>
      <w:r>
        <w:rPr>
          <w:rFonts w:eastAsia="仿宋_GB2312"/>
          <w:color w:val="auto"/>
          <w:sz w:val="32"/>
          <w:szCs w:val="32"/>
          <w:highlight w:val="none"/>
        </w:rPr>
        <w:t>等。</w:t>
      </w:r>
    </w:p>
    <w:p>
      <w:pPr>
        <w:keepNext w:val="0"/>
        <w:keepLines w:val="0"/>
        <w:pageBreakBefore w:val="0"/>
        <w:kinsoku/>
        <w:wordWrap/>
        <w:overflowPunct/>
        <w:topLinePunct w:val="0"/>
        <w:bidi w:val="0"/>
        <w:adjustRightInd/>
        <w:spacing w:line="560" w:lineRule="exact"/>
        <w:ind w:firstLine="640" w:firstLineChars="200"/>
        <w:textAlignment w:val="auto"/>
        <w:outlineLvl w:val="2"/>
        <w:rPr>
          <w:rStyle w:val="33"/>
          <w:color w:val="auto"/>
          <w:sz w:val="32"/>
          <w:highlight w:val="none"/>
        </w:rPr>
      </w:pPr>
      <w:bookmarkStart w:id="81" w:name="OLE_LINK6"/>
      <w:r>
        <w:rPr>
          <w:rStyle w:val="33"/>
          <w:color w:val="auto"/>
          <w:sz w:val="32"/>
          <w:highlight w:val="none"/>
        </w:rPr>
        <w:t>6</w:t>
      </w:r>
      <w:r>
        <w:rPr>
          <w:rStyle w:val="33"/>
          <w:rFonts w:hint="eastAsia"/>
          <w:color w:val="auto"/>
          <w:sz w:val="32"/>
          <w:highlight w:val="none"/>
        </w:rPr>
        <w:t>.其他</w:t>
      </w:r>
    </w:p>
    <w:bookmarkEnd w:id="81"/>
    <w:p>
      <w:pPr>
        <w:keepNext w:val="0"/>
        <w:keepLines w:val="0"/>
        <w:pageBreakBefore w:val="0"/>
        <w:widowControl/>
        <w:kinsoku/>
        <w:wordWrap/>
        <w:overflowPunct/>
        <w:topLinePunct w:val="0"/>
        <w:bidi w:val="0"/>
        <w:adjustRightInd/>
        <w:snapToGrid w:val="0"/>
        <w:spacing w:line="560" w:lineRule="exact"/>
        <w:ind w:firstLine="640" w:firstLineChars="200"/>
        <w:textAlignment w:val="auto"/>
        <w:rPr>
          <w:color w:val="auto"/>
          <w:szCs w:val="32"/>
          <w:highlight w:val="none"/>
        </w:rPr>
      </w:pPr>
      <w:r>
        <w:rPr>
          <w:rFonts w:hint="eastAsia"/>
          <w:color w:val="auto"/>
          <w:szCs w:val="32"/>
          <w:highlight w:val="none"/>
        </w:rPr>
        <w:t>根据《国家药监局关于发布免于临床评价医疗器械目录的通告 》（2021年第71号），</w:t>
      </w:r>
      <w:r>
        <w:rPr>
          <w:color w:val="auto"/>
          <w:szCs w:val="32"/>
          <w:highlight w:val="none"/>
        </w:rPr>
        <w:t>“</w:t>
      </w:r>
      <w:r>
        <w:rPr>
          <w:rFonts w:hint="eastAsia"/>
          <w:color w:val="auto"/>
          <w:szCs w:val="32"/>
          <w:highlight w:val="none"/>
        </w:rPr>
        <w:t>产品名称：医用内窥镜冷光源，分类编码：06-15-01</w:t>
      </w:r>
      <w:r>
        <w:rPr>
          <w:color w:val="auto"/>
          <w:szCs w:val="32"/>
          <w:highlight w:val="none"/>
        </w:rPr>
        <w:t>”</w:t>
      </w:r>
      <w:r>
        <w:rPr>
          <w:rFonts w:hint="eastAsia"/>
          <w:color w:val="auto"/>
          <w:szCs w:val="32"/>
          <w:highlight w:val="none"/>
        </w:rPr>
        <w:t>包含在免于进行临床评价的第二类医疗器械目录中。</w:t>
      </w:r>
      <w:r>
        <w:rPr>
          <w:rFonts w:hint="eastAsia"/>
          <w:bCs/>
          <w:color w:val="auto"/>
          <w:szCs w:val="32"/>
          <w:highlight w:val="none"/>
        </w:rPr>
        <w:t>对于符合《目录》中分类编码为</w:t>
      </w:r>
      <w:r>
        <w:rPr>
          <w:rFonts w:hint="eastAsia"/>
          <w:color w:val="auto"/>
          <w:szCs w:val="32"/>
          <w:highlight w:val="none"/>
        </w:rPr>
        <w:t>06-15-01</w:t>
      </w:r>
      <w:r>
        <w:rPr>
          <w:rFonts w:hint="eastAsia"/>
          <w:bCs/>
          <w:color w:val="auto"/>
          <w:szCs w:val="32"/>
          <w:highlight w:val="none"/>
        </w:rPr>
        <w:t>的，注册申请人需提交申报产品相关信息与《目录》所述内容的对比资料，和申报产品与已获准境内注册的《目录》中医疗器械的对比表，具体提交资料的要求可参照《列入免于进行临床评价医疗器械目录产品对比说明技术指导原则》。</w:t>
      </w:r>
    </w:p>
    <w:p>
      <w:pPr>
        <w:keepNext w:val="0"/>
        <w:keepLines w:val="0"/>
        <w:pageBreakBefore w:val="0"/>
        <w:numPr>
          <w:ilvl w:val="0"/>
          <w:numId w:val="3"/>
        </w:numPr>
        <w:kinsoku/>
        <w:wordWrap/>
        <w:overflowPunct/>
        <w:topLinePunct w:val="0"/>
        <w:bidi w:val="0"/>
        <w:adjustRightInd/>
        <w:spacing w:line="560" w:lineRule="exact"/>
        <w:ind w:firstLine="640" w:firstLineChars="200"/>
        <w:textAlignment w:val="auto"/>
        <w:outlineLvl w:val="1"/>
        <w:rPr>
          <w:rFonts w:ascii="楷体" w:hAnsi="楷体" w:eastAsia="楷体"/>
          <w:color w:val="auto"/>
          <w:szCs w:val="32"/>
          <w:highlight w:val="none"/>
        </w:rPr>
      </w:pPr>
      <w:bookmarkStart w:id="82" w:name="_Toc1004"/>
      <w:bookmarkStart w:id="83" w:name="_Toc5106"/>
      <w:bookmarkStart w:id="84" w:name="_Toc29471"/>
      <w:r>
        <w:rPr>
          <w:rFonts w:ascii="楷体" w:hAnsi="楷体" w:eastAsia="楷体"/>
          <w:color w:val="auto"/>
          <w:szCs w:val="32"/>
          <w:highlight w:val="none"/>
        </w:rPr>
        <w:t>临床评价资料</w:t>
      </w:r>
      <w:bookmarkEnd w:id="82"/>
      <w:bookmarkEnd w:id="83"/>
      <w:bookmarkEnd w:id="84"/>
      <w:r>
        <w:rPr>
          <w:rFonts w:ascii="楷体" w:hAnsi="楷体" w:eastAsia="楷体"/>
          <w:color w:val="auto"/>
          <w:szCs w:val="32"/>
          <w:highlight w:val="none"/>
        </w:rPr>
        <w:tab/>
      </w:r>
    </w:p>
    <w:p>
      <w:pPr>
        <w:keepNext w:val="0"/>
        <w:keepLines w:val="0"/>
        <w:pageBreakBefore w:val="0"/>
        <w:widowControl/>
        <w:kinsoku/>
        <w:wordWrap/>
        <w:overflowPunct/>
        <w:topLinePunct w:val="0"/>
        <w:bidi w:val="0"/>
        <w:adjustRightInd/>
        <w:snapToGrid w:val="0"/>
        <w:spacing w:line="560" w:lineRule="exact"/>
        <w:ind w:firstLine="640" w:firstLineChars="200"/>
        <w:textAlignment w:val="auto"/>
        <w:rPr>
          <w:rStyle w:val="33"/>
          <w:color w:val="auto"/>
          <w:sz w:val="32"/>
          <w:highlight w:val="none"/>
        </w:rPr>
      </w:pPr>
      <w:r>
        <w:rPr>
          <w:rFonts w:hint="eastAsia"/>
          <w:color w:val="auto"/>
          <w:szCs w:val="32"/>
          <w:highlight w:val="none"/>
        </w:rPr>
        <w:t>申报产品功能或结构超出</w:t>
      </w:r>
      <w:r>
        <w:rPr>
          <w:rFonts w:hint="eastAsia"/>
          <w:bCs/>
          <w:color w:val="auto"/>
          <w:szCs w:val="32"/>
          <w:highlight w:val="none"/>
        </w:rPr>
        <w:t>《目录》中包含的内容</w:t>
      </w:r>
      <w:r>
        <w:rPr>
          <w:rFonts w:hint="eastAsia"/>
          <w:bCs/>
          <w:color w:val="auto"/>
          <w:szCs w:val="32"/>
          <w:highlight w:val="none"/>
          <w:lang w:eastAsia="zh-CN"/>
        </w:rPr>
        <w:t>的</w:t>
      </w:r>
      <w:r>
        <w:rPr>
          <w:rFonts w:hint="eastAsia" w:ascii="仿宋_GB2312" w:eastAsia="仿宋_GB2312"/>
          <w:color w:val="auto"/>
          <w:sz w:val="32"/>
          <w:szCs w:val="32"/>
          <w:highlight w:val="none"/>
        </w:rPr>
        <w:t>的产品</w:t>
      </w:r>
      <w:r>
        <w:rPr>
          <w:rFonts w:hint="eastAsia"/>
          <w:bCs/>
          <w:color w:val="auto"/>
          <w:szCs w:val="32"/>
          <w:highlight w:val="none"/>
          <w:lang w:eastAsia="zh-CN"/>
        </w:rPr>
        <w:t>（</w:t>
      </w:r>
      <w:r>
        <w:rPr>
          <w:rFonts w:hint="eastAsia" w:ascii="仿宋_GB2312"/>
          <w:color w:val="auto"/>
          <w:sz w:val="32"/>
          <w:szCs w:val="32"/>
          <w:highlight w:val="none"/>
          <w:lang w:eastAsia="zh-CN"/>
        </w:rPr>
        <w:t>如近红外光或其他特殊光谱</w:t>
      </w:r>
      <w:r>
        <w:rPr>
          <w:rFonts w:hint="eastAsia" w:ascii="仿宋_GB2312" w:eastAsia="仿宋_GB2312"/>
          <w:color w:val="auto"/>
          <w:sz w:val="32"/>
          <w:szCs w:val="32"/>
          <w:highlight w:val="none"/>
        </w:rPr>
        <w:t>），暂不属于该产品免临床目录的范畴</w:t>
      </w:r>
      <w:r>
        <w:rPr>
          <w:rStyle w:val="33"/>
          <w:color w:val="auto"/>
          <w:sz w:val="32"/>
          <w:highlight w:val="none"/>
        </w:rPr>
        <w:t>，</w:t>
      </w:r>
      <w:r>
        <w:rPr>
          <w:rStyle w:val="33"/>
          <w:rFonts w:hint="eastAsia"/>
          <w:color w:val="auto"/>
          <w:sz w:val="32"/>
          <w:highlight w:val="none"/>
        </w:rPr>
        <w:t>申请人应当</w:t>
      </w:r>
      <w:r>
        <w:rPr>
          <w:rStyle w:val="33"/>
          <w:color w:val="auto"/>
          <w:sz w:val="32"/>
          <w:highlight w:val="none"/>
        </w:rPr>
        <w:t>参照《医疗器械临床评价技术指导原则》</w:t>
      </w:r>
      <w:r>
        <w:rPr>
          <w:rStyle w:val="33"/>
          <w:rFonts w:hint="eastAsia"/>
          <w:color w:val="auto"/>
          <w:sz w:val="32"/>
          <w:highlight w:val="none"/>
        </w:rPr>
        <w:t>（</w:t>
      </w:r>
      <w:r>
        <w:rPr>
          <w:rStyle w:val="33"/>
          <w:color w:val="auto"/>
          <w:sz w:val="32"/>
          <w:highlight w:val="none"/>
        </w:rPr>
        <w:t>国家药品监督管理局通告</w:t>
      </w:r>
      <w:r>
        <w:rPr>
          <w:rStyle w:val="33"/>
          <w:rFonts w:hint="eastAsia"/>
          <w:color w:val="auto"/>
          <w:sz w:val="32"/>
          <w:highlight w:val="none"/>
        </w:rPr>
        <w:t>2</w:t>
      </w:r>
      <w:r>
        <w:rPr>
          <w:rStyle w:val="33"/>
          <w:color w:val="auto"/>
          <w:sz w:val="32"/>
          <w:highlight w:val="none"/>
        </w:rPr>
        <w:t>021</w:t>
      </w:r>
      <w:r>
        <w:rPr>
          <w:rStyle w:val="33"/>
          <w:rFonts w:hint="eastAsia"/>
          <w:color w:val="auto"/>
          <w:sz w:val="32"/>
          <w:highlight w:val="none"/>
        </w:rPr>
        <w:t>年第7</w:t>
      </w:r>
      <w:r>
        <w:rPr>
          <w:rStyle w:val="33"/>
          <w:color w:val="auto"/>
          <w:sz w:val="32"/>
          <w:highlight w:val="none"/>
        </w:rPr>
        <w:t>3</w:t>
      </w:r>
      <w:r>
        <w:rPr>
          <w:rStyle w:val="33"/>
          <w:rFonts w:hint="eastAsia"/>
          <w:color w:val="auto"/>
          <w:sz w:val="32"/>
          <w:highlight w:val="none"/>
        </w:rPr>
        <w:t>号）要</w:t>
      </w:r>
      <w:r>
        <w:rPr>
          <w:rStyle w:val="33"/>
          <w:color w:val="auto"/>
          <w:sz w:val="32"/>
          <w:highlight w:val="none"/>
        </w:rPr>
        <w:t>求开展</w:t>
      </w:r>
      <w:r>
        <w:rPr>
          <w:rStyle w:val="33"/>
          <w:rFonts w:hint="eastAsia"/>
          <w:color w:val="auto"/>
          <w:sz w:val="32"/>
          <w:highlight w:val="none"/>
        </w:rPr>
        <w:t>临床评价，证明医疗器械安全、有效，并提交相应的临床评价资料</w:t>
      </w:r>
      <w:r>
        <w:rPr>
          <w:rStyle w:val="33"/>
          <w:color w:val="auto"/>
          <w:sz w:val="32"/>
          <w:highlight w:val="none"/>
        </w:rPr>
        <w:t>。</w:t>
      </w:r>
    </w:p>
    <w:p>
      <w:pPr>
        <w:keepNext w:val="0"/>
        <w:keepLines w:val="0"/>
        <w:pageBreakBefore w:val="0"/>
        <w:numPr>
          <w:ilvl w:val="0"/>
          <w:numId w:val="3"/>
        </w:numPr>
        <w:kinsoku/>
        <w:wordWrap/>
        <w:overflowPunct/>
        <w:topLinePunct w:val="0"/>
        <w:bidi w:val="0"/>
        <w:adjustRightInd/>
        <w:spacing w:line="560" w:lineRule="exact"/>
        <w:ind w:firstLine="640" w:firstLineChars="200"/>
        <w:textAlignment w:val="auto"/>
        <w:outlineLvl w:val="1"/>
        <w:rPr>
          <w:rFonts w:ascii="楷体" w:hAnsi="楷体" w:eastAsia="楷体"/>
          <w:color w:val="auto"/>
          <w:szCs w:val="32"/>
          <w:highlight w:val="none"/>
        </w:rPr>
      </w:pPr>
      <w:bookmarkStart w:id="85" w:name="_Toc17592"/>
      <w:bookmarkStart w:id="86" w:name="_Toc26141"/>
      <w:bookmarkStart w:id="87" w:name="_Toc29308"/>
      <w:r>
        <w:rPr>
          <w:rFonts w:ascii="楷体" w:hAnsi="楷体" w:eastAsia="楷体"/>
          <w:color w:val="auto"/>
          <w:szCs w:val="32"/>
          <w:highlight w:val="none"/>
        </w:rPr>
        <w:t>产品说明书和标签</w:t>
      </w:r>
      <w:bookmarkEnd w:id="85"/>
      <w:bookmarkEnd w:id="86"/>
      <w:bookmarkEnd w:id="87"/>
      <w:bookmarkStart w:id="88" w:name="_Toc6403"/>
      <w:bookmarkStart w:id="89" w:name="_Toc434231402"/>
    </w:p>
    <w:p>
      <w:pPr>
        <w:keepNext w:val="0"/>
        <w:keepLines w:val="0"/>
        <w:pageBreakBefore w:val="0"/>
        <w:kinsoku/>
        <w:wordWrap/>
        <w:overflowPunct/>
        <w:topLinePunct w:val="0"/>
        <w:bidi w:val="0"/>
        <w:adjustRightInd/>
        <w:spacing w:line="560" w:lineRule="exact"/>
        <w:ind w:firstLine="640" w:firstLineChars="200"/>
        <w:jc w:val="left"/>
        <w:textAlignment w:val="auto"/>
        <w:rPr>
          <w:color w:val="auto"/>
          <w:spacing w:val="4"/>
          <w:szCs w:val="32"/>
          <w:highlight w:val="none"/>
        </w:rPr>
      </w:pPr>
      <w:r>
        <w:rPr>
          <w:rFonts w:hint="eastAsia"/>
          <w:color w:val="auto"/>
          <w:szCs w:val="32"/>
          <w:highlight w:val="none"/>
        </w:rPr>
        <w:t>产</w:t>
      </w:r>
      <w:r>
        <w:rPr>
          <w:rFonts w:hint="eastAsia"/>
          <w:color w:val="auto"/>
          <w:spacing w:val="4"/>
          <w:szCs w:val="32"/>
          <w:highlight w:val="none"/>
        </w:rPr>
        <w:t>品说明书一般包括使用说明书和技术说明书，两者可合并。产品说明书《医疗器械说明书和标签管理规定》（</w:t>
      </w:r>
      <w:r>
        <w:rPr>
          <w:color w:val="auto"/>
          <w:spacing w:val="4"/>
          <w:szCs w:val="32"/>
          <w:highlight w:val="none"/>
        </w:rPr>
        <w:t>2014</w:t>
      </w:r>
      <w:r>
        <w:rPr>
          <w:rFonts w:hint="eastAsia"/>
          <w:color w:val="auto"/>
          <w:spacing w:val="4"/>
          <w:szCs w:val="32"/>
          <w:highlight w:val="none"/>
        </w:rPr>
        <w:t>年国家局</w:t>
      </w:r>
      <w:r>
        <w:rPr>
          <w:color w:val="auto"/>
          <w:spacing w:val="4"/>
          <w:szCs w:val="32"/>
          <w:highlight w:val="none"/>
        </w:rPr>
        <w:t>6</w:t>
      </w:r>
      <w:r>
        <w:rPr>
          <w:rFonts w:hint="eastAsia"/>
          <w:color w:val="auto"/>
          <w:spacing w:val="4"/>
          <w:szCs w:val="32"/>
          <w:highlight w:val="none"/>
        </w:rPr>
        <w:t>号令）及相关标准（特别是</w:t>
      </w:r>
      <w:r>
        <w:rPr>
          <w:color w:val="auto"/>
          <w:szCs w:val="32"/>
          <w:highlight w:val="none"/>
        </w:rPr>
        <w:t>GB 9706.1</w:t>
      </w:r>
      <w:r>
        <w:rPr>
          <w:rFonts w:hint="eastAsia"/>
          <w:color w:val="auto"/>
          <w:szCs w:val="32"/>
          <w:highlight w:val="none"/>
        </w:rPr>
        <w:t>、</w:t>
      </w:r>
      <w:r>
        <w:rPr>
          <w:color w:val="auto"/>
          <w:szCs w:val="32"/>
          <w:highlight w:val="none"/>
        </w:rPr>
        <w:t>YY 9706.102、</w:t>
      </w:r>
      <w:r>
        <w:rPr>
          <w:rFonts w:hint="eastAsia"/>
          <w:color w:val="auto"/>
          <w:szCs w:val="32"/>
          <w:highlight w:val="none"/>
        </w:rPr>
        <w:t>GB</w:t>
      </w:r>
      <w:r>
        <w:rPr>
          <w:color w:val="auto"/>
          <w:szCs w:val="32"/>
          <w:highlight w:val="none"/>
        </w:rPr>
        <w:t>9706.218</w:t>
      </w:r>
      <w:r>
        <w:rPr>
          <w:rFonts w:hint="eastAsia"/>
          <w:color w:val="auto"/>
          <w:szCs w:val="32"/>
          <w:highlight w:val="none"/>
        </w:rPr>
        <w:t>、</w:t>
      </w:r>
      <w:r>
        <w:rPr>
          <w:color w:val="auto"/>
          <w:szCs w:val="32"/>
          <w:highlight w:val="none"/>
        </w:rPr>
        <w:t>YY/T 0466.1</w:t>
      </w:r>
      <w:r>
        <w:rPr>
          <w:rFonts w:hint="eastAsia"/>
          <w:color w:val="auto"/>
          <w:szCs w:val="32"/>
          <w:highlight w:val="none"/>
        </w:rPr>
        <w:t>）</w:t>
      </w:r>
      <w:r>
        <w:rPr>
          <w:rFonts w:hint="eastAsia"/>
          <w:color w:val="auto"/>
          <w:spacing w:val="4"/>
          <w:szCs w:val="32"/>
          <w:highlight w:val="none"/>
        </w:rPr>
        <w:t>的规定。</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医疗器械说明书、标签和包装标识的内容应当真实、完整、准确、科学，并与产品特性相一致。医疗器械标签、包装标识的内容应当与说明书有关内容相符合。医疗器械说明书、标签和包装标识文字内容必须使用中文，可以附加其他文种。中文的使用应当符合国家通用的语言文字规范。医疗器械说明书、标签和包装标识的文字、符号、图形、表格、数字、照片、图片等应当准确、清晰、规范。</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val="en-US" w:eastAsia="zh-CN"/>
        </w:rPr>
        <w:t>1.</w:t>
      </w:r>
      <w:r>
        <w:rPr>
          <w:rFonts w:hint="eastAsia"/>
          <w:color w:val="auto"/>
          <w:szCs w:val="32"/>
          <w:highlight w:val="none"/>
        </w:rPr>
        <w:t>说明书的内容</w:t>
      </w:r>
    </w:p>
    <w:p>
      <w:pPr>
        <w:keepNext w:val="0"/>
        <w:keepLines w:val="0"/>
        <w:pageBreakBefore w:val="0"/>
        <w:kinsoku/>
        <w:wordWrap/>
        <w:overflowPunct/>
        <w:topLinePunct w:val="0"/>
        <w:bidi w:val="0"/>
        <w:adjustRightInd/>
        <w:spacing w:line="560" w:lineRule="exact"/>
        <w:ind w:firstLine="640" w:firstLineChars="200"/>
        <w:jc w:val="left"/>
        <w:textAlignment w:val="auto"/>
        <w:rPr>
          <w:color w:val="auto"/>
          <w:szCs w:val="32"/>
          <w:highlight w:val="none"/>
        </w:rPr>
      </w:pPr>
      <w:r>
        <w:rPr>
          <w:rFonts w:hint="eastAsia"/>
          <w:color w:val="auto"/>
          <w:szCs w:val="32"/>
          <w:highlight w:val="none"/>
        </w:rPr>
        <w:t>产品的说明书、标签应当符合《医疗器械说明书和标签管理规定》及其他适用标准中有关说明书和标签的要求的规定。使用</w:t>
      </w:r>
      <w:r>
        <w:rPr>
          <w:color w:val="auto"/>
          <w:szCs w:val="32"/>
          <w:highlight w:val="none"/>
        </w:rPr>
        <w:t>说明书中</w:t>
      </w:r>
      <w:r>
        <w:rPr>
          <w:rFonts w:hint="eastAsia"/>
          <w:color w:val="auto"/>
          <w:szCs w:val="32"/>
          <w:highlight w:val="none"/>
        </w:rPr>
        <w:t>还</w:t>
      </w:r>
      <w:r>
        <w:rPr>
          <w:color w:val="auto"/>
          <w:szCs w:val="32"/>
          <w:highlight w:val="none"/>
        </w:rPr>
        <w:t>应</w:t>
      </w:r>
      <w:r>
        <w:rPr>
          <w:rFonts w:hint="eastAsia"/>
          <w:color w:val="auto"/>
          <w:szCs w:val="32"/>
          <w:highlight w:val="none"/>
          <w:lang w:eastAsia="zh-CN"/>
        </w:rPr>
        <w:t>符合以下要求</w:t>
      </w:r>
      <w:r>
        <w:rPr>
          <w:rFonts w:hint="eastAsia"/>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highlight w:val="none"/>
        </w:rPr>
      </w:pPr>
      <w:r>
        <w:rPr>
          <w:rStyle w:val="33"/>
          <w:rFonts w:hint="eastAsia"/>
          <w:color w:val="auto"/>
          <w:sz w:val="32"/>
          <w:highlight w:val="none"/>
        </w:rPr>
        <w:t>（1）</w:t>
      </w:r>
      <w:r>
        <w:rPr>
          <w:rStyle w:val="33"/>
          <w:rFonts w:hint="eastAsia"/>
          <w:color w:val="auto"/>
          <w:sz w:val="32"/>
          <w:highlight w:val="none"/>
          <w:lang w:eastAsia="zh-CN"/>
        </w:rPr>
        <w:t>明确</w:t>
      </w:r>
      <w:r>
        <w:rPr>
          <w:rStyle w:val="33"/>
          <w:rFonts w:hint="eastAsia"/>
          <w:color w:val="auto"/>
          <w:sz w:val="32"/>
          <w:highlight w:val="none"/>
        </w:rPr>
        <w:t>输入电压和频率、输入功率、光输出孔直径、正常工作和贮存条件；</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highlight w:val="none"/>
        </w:rPr>
      </w:pPr>
      <w:r>
        <w:rPr>
          <w:rStyle w:val="33"/>
          <w:rFonts w:hint="eastAsia"/>
          <w:color w:val="auto"/>
          <w:sz w:val="32"/>
          <w:highlight w:val="none"/>
        </w:rPr>
        <w:t>（2）</w:t>
      </w:r>
      <w:r>
        <w:rPr>
          <w:rStyle w:val="33"/>
          <w:rFonts w:hint="eastAsia"/>
          <w:color w:val="auto"/>
          <w:sz w:val="32"/>
          <w:highlight w:val="none"/>
          <w:lang w:eastAsia="zh-CN"/>
        </w:rPr>
        <w:t>明确</w:t>
      </w:r>
      <w:r>
        <w:rPr>
          <w:rStyle w:val="33"/>
          <w:rFonts w:hint="eastAsia"/>
          <w:color w:val="auto"/>
          <w:sz w:val="32"/>
          <w:highlight w:val="none"/>
        </w:rPr>
        <w:t>照明光源的种类、规格；</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highlight w:val="none"/>
        </w:rPr>
      </w:pPr>
      <w:r>
        <w:rPr>
          <w:rStyle w:val="33"/>
          <w:rFonts w:hint="eastAsia"/>
          <w:color w:val="auto"/>
          <w:sz w:val="32"/>
          <w:highlight w:val="none"/>
        </w:rPr>
        <w:t>（3）</w:t>
      </w:r>
      <w:r>
        <w:rPr>
          <w:rStyle w:val="33"/>
          <w:rFonts w:hint="eastAsia"/>
          <w:color w:val="auto"/>
          <w:sz w:val="32"/>
          <w:highlight w:val="none"/>
          <w:lang w:eastAsia="zh-CN"/>
        </w:rPr>
        <w:t>明确</w:t>
      </w:r>
      <w:r>
        <w:rPr>
          <w:rStyle w:val="33"/>
          <w:rFonts w:hint="eastAsia"/>
          <w:color w:val="auto"/>
          <w:sz w:val="32"/>
          <w:highlight w:val="none"/>
        </w:rPr>
        <w:t>配件、附件（适用）的要求及使用方法；</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highlight w:val="none"/>
        </w:rPr>
      </w:pPr>
      <w:r>
        <w:rPr>
          <w:rStyle w:val="33"/>
          <w:rFonts w:hint="eastAsia"/>
          <w:color w:val="auto"/>
          <w:sz w:val="32"/>
          <w:highlight w:val="none"/>
        </w:rPr>
        <w:t>（4）</w:t>
      </w:r>
      <w:r>
        <w:rPr>
          <w:rStyle w:val="33"/>
          <w:rFonts w:hint="eastAsia"/>
          <w:color w:val="auto"/>
          <w:sz w:val="32"/>
          <w:highlight w:val="none"/>
          <w:lang w:eastAsia="zh-CN"/>
        </w:rPr>
        <w:t>明确</w:t>
      </w:r>
      <w:r>
        <w:rPr>
          <w:rStyle w:val="33"/>
          <w:rFonts w:hint="eastAsia"/>
          <w:color w:val="auto"/>
          <w:sz w:val="32"/>
          <w:highlight w:val="none"/>
        </w:rPr>
        <w:t>与配套用设备的接口及连接方法，并给出整个系统的示意图；</w:t>
      </w:r>
    </w:p>
    <w:p>
      <w:pPr>
        <w:keepNext w:val="0"/>
        <w:keepLines w:val="0"/>
        <w:pageBreakBefore w:val="0"/>
        <w:kinsoku/>
        <w:wordWrap/>
        <w:overflowPunct/>
        <w:topLinePunct w:val="0"/>
        <w:bidi w:val="0"/>
        <w:adjustRightInd/>
        <w:spacing w:line="560" w:lineRule="exact"/>
        <w:ind w:firstLine="640" w:firstLineChars="200"/>
        <w:textAlignment w:val="auto"/>
        <w:rPr>
          <w:rStyle w:val="33"/>
          <w:color w:val="auto"/>
          <w:sz w:val="32"/>
          <w:highlight w:val="none"/>
        </w:rPr>
      </w:pPr>
      <w:r>
        <w:rPr>
          <w:rFonts w:hint="eastAsia"/>
          <w:color w:val="auto"/>
          <w:szCs w:val="32"/>
          <w:highlight w:val="none"/>
        </w:rPr>
        <w:t>（5）</w:t>
      </w:r>
      <w:r>
        <w:rPr>
          <w:color w:val="auto"/>
          <w:szCs w:val="32"/>
          <w:highlight w:val="none"/>
        </w:rPr>
        <w:t>设备中如包含可更换的部件</w:t>
      </w:r>
      <w:r>
        <w:rPr>
          <w:rFonts w:hint="eastAsia"/>
          <w:color w:val="auto"/>
          <w:szCs w:val="32"/>
          <w:highlight w:val="none"/>
        </w:rPr>
        <w:t>，如灯泡</w:t>
      </w:r>
      <w:r>
        <w:rPr>
          <w:color w:val="auto"/>
          <w:szCs w:val="32"/>
          <w:highlight w:val="none"/>
        </w:rPr>
        <w:t>，</w:t>
      </w:r>
      <w:r>
        <w:rPr>
          <w:rFonts w:hint="eastAsia"/>
          <w:color w:val="auto"/>
          <w:szCs w:val="32"/>
          <w:highlight w:val="none"/>
        </w:rPr>
        <w:t>应</w:t>
      </w:r>
      <w:r>
        <w:rPr>
          <w:color w:val="auto"/>
          <w:szCs w:val="32"/>
          <w:highlight w:val="none"/>
        </w:rPr>
        <w:t>在说明书和标签中明确产品的使用期限，可更换部件的更换周期、</w:t>
      </w:r>
      <w:r>
        <w:rPr>
          <w:rFonts w:hint="eastAsia"/>
          <w:color w:val="auto"/>
          <w:szCs w:val="32"/>
          <w:highlight w:val="none"/>
        </w:rPr>
        <w:t>更换</w:t>
      </w:r>
      <w:r>
        <w:rPr>
          <w:color w:val="auto"/>
          <w:szCs w:val="32"/>
          <w:highlight w:val="none"/>
        </w:rPr>
        <w:t>方法</w:t>
      </w:r>
      <w:r>
        <w:rPr>
          <w:rFonts w:hint="eastAsia"/>
          <w:color w:val="auto"/>
          <w:szCs w:val="32"/>
          <w:highlight w:val="none"/>
        </w:rPr>
        <w:t>。</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6</w:t>
      </w:r>
      <w:r>
        <w:rPr>
          <w:rFonts w:hint="eastAsia"/>
          <w:color w:val="auto"/>
          <w:szCs w:val="32"/>
          <w:highlight w:val="none"/>
          <w:lang w:eastAsia="zh-CN"/>
        </w:rPr>
        <w:t>）</w:t>
      </w:r>
      <w:r>
        <w:rPr>
          <w:rFonts w:hint="eastAsia"/>
          <w:color w:val="auto"/>
          <w:szCs w:val="32"/>
          <w:highlight w:val="none"/>
        </w:rPr>
        <w:t>应提醒注意由于电气安装不合适而造成的危险；</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rPr>
      </w:pPr>
      <w:r>
        <w:rPr>
          <w:rFonts w:hint="eastAsia"/>
          <w:color w:val="auto"/>
          <w:szCs w:val="32"/>
          <w:highlight w:val="none"/>
        </w:rPr>
        <w:t>提醒清洁、消毒并在室内充分换气后，再接通医用内窥镜冷光原电源，例如：在手术室内残留易燃性气体而通电时，可能产生爆炸和火灾；该设备与其他设备间潜在的电磁干扰或其他干扰的相关信息，以及有关避免这些干扰的建议。</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7</w:t>
      </w:r>
      <w:r>
        <w:rPr>
          <w:rFonts w:hint="eastAsia"/>
          <w:color w:val="auto"/>
          <w:szCs w:val="32"/>
          <w:highlight w:val="none"/>
          <w:lang w:eastAsia="zh-CN"/>
        </w:rPr>
        <w:t>）应明确</w:t>
      </w:r>
      <w:r>
        <w:rPr>
          <w:rFonts w:hint="eastAsia"/>
          <w:color w:val="auto"/>
          <w:szCs w:val="32"/>
          <w:highlight w:val="none"/>
        </w:rPr>
        <w:t>产品的适用范围和主要功能结构；所有配件、附件，特别是产品名称和型号</w:t>
      </w:r>
      <w:r>
        <w:rPr>
          <w:rFonts w:hint="eastAsia"/>
          <w:color w:val="auto"/>
          <w:szCs w:val="32"/>
          <w:highlight w:val="none"/>
          <w:lang w:eastAsia="zh-CN"/>
        </w:rPr>
        <w:t>应</w:t>
      </w:r>
      <w:r>
        <w:rPr>
          <w:rFonts w:hint="eastAsia"/>
          <w:color w:val="auto"/>
          <w:szCs w:val="32"/>
          <w:highlight w:val="none"/>
        </w:rPr>
        <w:t>准确、完整。</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val="en-US" w:eastAsia="zh-CN"/>
        </w:rPr>
        <w:t>（8）</w:t>
      </w:r>
      <w:r>
        <w:rPr>
          <w:rFonts w:hint="eastAsia"/>
          <w:color w:val="auto"/>
          <w:szCs w:val="32"/>
          <w:highlight w:val="none"/>
          <w:lang w:eastAsia="zh-CN"/>
        </w:rPr>
        <w:t>应涵盖</w:t>
      </w:r>
      <w:r>
        <w:rPr>
          <w:rFonts w:hint="eastAsia"/>
          <w:color w:val="auto"/>
          <w:szCs w:val="32"/>
          <w:highlight w:val="none"/>
        </w:rPr>
        <w:t>产品性能指标；主要性能及参数</w:t>
      </w:r>
      <w:r>
        <w:rPr>
          <w:rFonts w:hint="eastAsia"/>
          <w:color w:val="auto"/>
          <w:szCs w:val="32"/>
          <w:highlight w:val="none"/>
          <w:lang w:eastAsia="zh-CN"/>
        </w:rPr>
        <w:t>应</w:t>
      </w:r>
      <w:r>
        <w:rPr>
          <w:rFonts w:hint="eastAsia"/>
          <w:color w:val="auto"/>
          <w:szCs w:val="32"/>
          <w:highlight w:val="none"/>
        </w:rPr>
        <w:t>准确、完整。</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9</w:t>
      </w:r>
      <w:r>
        <w:rPr>
          <w:rFonts w:hint="eastAsia"/>
          <w:color w:val="auto"/>
          <w:szCs w:val="32"/>
          <w:highlight w:val="none"/>
          <w:lang w:eastAsia="zh-CN"/>
        </w:rPr>
        <w:t>）应明确</w:t>
      </w:r>
      <w:r>
        <w:rPr>
          <w:rFonts w:hint="eastAsia"/>
          <w:color w:val="auto"/>
          <w:szCs w:val="32"/>
          <w:highlight w:val="none"/>
        </w:rPr>
        <w:t>产品安装及调试的负责方；</w:t>
      </w:r>
      <w:r>
        <w:rPr>
          <w:rFonts w:hint="eastAsia"/>
          <w:color w:val="auto"/>
          <w:szCs w:val="32"/>
          <w:highlight w:val="none"/>
          <w:lang w:eastAsia="zh-CN"/>
        </w:rPr>
        <w:t>应明确</w:t>
      </w:r>
      <w:r>
        <w:rPr>
          <w:rFonts w:hint="eastAsia"/>
          <w:color w:val="auto"/>
          <w:szCs w:val="32"/>
          <w:highlight w:val="none"/>
        </w:rPr>
        <w:t>需要用户自行安装部分（如可拆卸配件）的安装、调试方法及其注意事项；</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lang w:eastAsia="zh-CN"/>
        </w:rPr>
        <w:t>（</w:t>
      </w:r>
      <w:r>
        <w:rPr>
          <w:rFonts w:hint="eastAsia"/>
          <w:color w:val="auto"/>
          <w:szCs w:val="32"/>
          <w:highlight w:val="none"/>
          <w:lang w:val="en-US" w:eastAsia="zh-CN"/>
        </w:rPr>
        <w:t>10</w:t>
      </w:r>
      <w:r>
        <w:rPr>
          <w:rFonts w:hint="eastAsia"/>
          <w:color w:val="auto"/>
          <w:szCs w:val="32"/>
          <w:highlight w:val="none"/>
          <w:lang w:eastAsia="zh-CN"/>
        </w:rPr>
        <w:t>）</w:t>
      </w:r>
      <w:r>
        <w:rPr>
          <w:rFonts w:hint="eastAsia"/>
          <w:color w:val="auto"/>
          <w:szCs w:val="32"/>
          <w:highlight w:val="none"/>
        </w:rPr>
        <w:t>长期停用后的使用前检查和检修程序</w:t>
      </w:r>
      <w:r>
        <w:rPr>
          <w:rFonts w:hint="eastAsia"/>
          <w:color w:val="auto"/>
          <w:szCs w:val="32"/>
          <w:highlight w:val="none"/>
          <w:lang w:eastAsia="zh-CN"/>
        </w:rPr>
        <w:t>应</w:t>
      </w:r>
      <w:r>
        <w:rPr>
          <w:rFonts w:hint="eastAsia"/>
          <w:color w:val="auto"/>
          <w:szCs w:val="32"/>
          <w:highlight w:val="none"/>
        </w:rPr>
        <w:t>准确、合理</w:t>
      </w:r>
      <w:r>
        <w:rPr>
          <w:rFonts w:hint="eastAsia"/>
          <w:color w:val="auto"/>
          <w:szCs w:val="32"/>
          <w:highlight w:val="none"/>
          <w:lang w:eastAsia="zh-CN"/>
        </w:rPr>
        <w:t>；</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lang w:eastAsia="zh-CN"/>
        </w:rPr>
        <w:t>（</w:t>
      </w:r>
      <w:r>
        <w:rPr>
          <w:rFonts w:hint="eastAsia"/>
          <w:color w:val="auto"/>
          <w:szCs w:val="32"/>
          <w:highlight w:val="none"/>
          <w:lang w:val="en-US" w:eastAsia="zh-CN"/>
        </w:rPr>
        <w:t>11</w:t>
      </w:r>
      <w:r>
        <w:rPr>
          <w:rFonts w:hint="eastAsia"/>
          <w:color w:val="auto"/>
          <w:szCs w:val="32"/>
          <w:highlight w:val="none"/>
          <w:lang w:eastAsia="zh-CN"/>
        </w:rPr>
        <w:t>）应明确</w:t>
      </w:r>
      <w:r>
        <w:rPr>
          <w:rFonts w:hint="eastAsia"/>
          <w:color w:val="auto"/>
          <w:szCs w:val="32"/>
          <w:highlight w:val="none"/>
        </w:rPr>
        <w:t>熔断器及其他可更换部件和附件的更换方法</w:t>
      </w:r>
      <w:r>
        <w:rPr>
          <w:rFonts w:hint="eastAsia"/>
          <w:color w:val="auto"/>
          <w:szCs w:val="32"/>
          <w:highlight w:val="none"/>
          <w:lang w:eastAsia="zh-CN"/>
        </w:rPr>
        <w:t>；</w:t>
      </w:r>
    </w:p>
    <w:p>
      <w:pPr>
        <w:keepNext w:val="0"/>
        <w:keepLines w:val="0"/>
        <w:pageBreakBefore w:val="0"/>
        <w:kinsoku/>
        <w:wordWrap/>
        <w:overflowPunct/>
        <w:topLinePunct w:val="0"/>
        <w:bidi w:val="0"/>
        <w:adjustRightInd/>
        <w:spacing w:line="560" w:lineRule="exact"/>
        <w:ind w:firstLine="640" w:firstLineChars="200"/>
        <w:textAlignment w:val="auto"/>
        <w:rPr>
          <w:rFonts w:hint="eastAsia"/>
          <w:color w:val="auto"/>
          <w:szCs w:val="32"/>
          <w:highlight w:val="none"/>
          <w:lang w:eastAsia="zh-CN"/>
        </w:rPr>
      </w:pPr>
      <w:r>
        <w:rPr>
          <w:rFonts w:hint="eastAsia"/>
          <w:color w:val="auto"/>
          <w:szCs w:val="32"/>
          <w:highlight w:val="none"/>
          <w:lang w:eastAsia="zh-CN"/>
        </w:rPr>
        <w:t>（</w:t>
      </w:r>
      <w:r>
        <w:rPr>
          <w:rFonts w:hint="eastAsia"/>
          <w:color w:val="auto"/>
          <w:szCs w:val="32"/>
          <w:highlight w:val="none"/>
          <w:lang w:val="en-US" w:eastAsia="zh-CN"/>
        </w:rPr>
        <w:t>12</w:t>
      </w:r>
      <w:r>
        <w:rPr>
          <w:rFonts w:hint="eastAsia"/>
          <w:color w:val="auto"/>
          <w:szCs w:val="32"/>
          <w:highlight w:val="none"/>
          <w:lang w:eastAsia="zh-CN"/>
        </w:rPr>
        <w:t>）</w:t>
      </w:r>
      <w:r>
        <w:rPr>
          <w:rFonts w:hint="eastAsia"/>
          <w:color w:val="auto"/>
          <w:szCs w:val="32"/>
          <w:highlight w:val="none"/>
        </w:rPr>
        <w:t>使用前的检查和准备程序</w:t>
      </w:r>
      <w:r>
        <w:rPr>
          <w:rFonts w:hint="eastAsia"/>
          <w:color w:val="auto"/>
          <w:szCs w:val="32"/>
          <w:highlight w:val="none"/>
          <w:lang w:eastAsia="zh-CN"/>
        </w:rPr>
        <w:t>应</w:t>
      </w:r>
      <w:r>
        <w:rPr>
          <w:rFonts w:hint="eastAsia"/>
          <w:color w:val="auto"/>
          <w:szCs w:val="32"/>
          <w:highlight w:val="none"/>
        </w:rPr>
        <w:t>详细、准确；</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13</w:t>
      </w:r>
      <w:r>
        <w:rPr>
          <w:rFonts w:hint="eastAsia"/>
          <w:color w:val="auto"/>
          <w:szCs w:val="32"/>
          <w:highlight w:val="none"/>
          <w:lang w:eastAsia="zh-CN"/>
        </w:rPr>
        <w:t>）</w:t>
      </w:r>
      <w:r>
        <w:rPr>
          <w:rFonts w:hint="eastAsia"/>
          <w:color w:val="auto"/>
          <w:szCs w:val="32"/>
          <w:highlight w:val="none"/>
        </w:rPr>
        <w:t>运行过程中的操作程序、方法及注意事项；</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14</w:t>
      </w:r>
      <w:r>
        <w:rPr>
          <w:rFonts w:hint="eastAsia"/>
          <w:color w:val="auto"/>
          <w:szCs w:val="32"/>
          <w:highlight w:val="none"/>
          <w:lang w:eastAsia="zh-CN"/>
        </w:rPr>
        <w:t>）应</w:t>
      </w:r>
      <w:r>
        <w:rPr>
          <w:rFonts w:hint="eastAsia"/>
          <w:color w:val="auto"/>
          <w:szCs w:val="32"/>
          <w:highlight w:val="none"/>
        </w:rPr>
        <w:t>详细说明防护功能；</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15</w:t>
      </w:r>
      <w:r>
        <w:rPr>
          <w:rFonts w:hint="eastAsia"/>
          <w:color w:val="auto"/>
          <w:szCs w:val="32"/>
          <w:highlight w:val="none"/>
          <w:lang w:eastAsia="zh-CN"/>
        </w:rPr>
        <w:t>）应明确</w:t>
      </w:r>
      <w:r>
        <w:rPr>
          <w:rFonts w:hint="eastAsia"/>
          <w:color w:val="auto"/>
          <w:szCs w:val="32"/>
          <w:highlight w:val="none"/>
        </w:rPr>
        <w:t>停机方法及注意事项；</w:t>
      </w:r>
    </w:p>
    <w:p>
      <w:pPr>
        <w:keepNext w:val="0"/>
        <w:keepLines w:val="0"/>
        <w:pageBreakBefore w:val="0"/>
        <w:kinsoku/>
        <w:wordWrap/>
        <w:overflowPunct/>
        <w:topLinePunct w:val="0"/>
        <w:bidi w:val="0"/>
        <w:adjustRightInd/>
        <w:spacing w:line="560" w:lineRule="exact"/>
        <w:ind w:firstLine="640" w:firstLineChars="200"/>
        <w:textAlignment w:val="auto"/>
        <w:rPr>
          <w:rFonts w:hint="eastAsia" w:eastAsia="仿宋_GB2312"/>
          <w:color w:val="auto"/>
          <w:szCs w:val="32"/>
          <w:highlight w:val="none"/>
          <w:lang w:eastAsia="zh-CN"/>
        </w:rPr>
      </w:pPr>
      <w:r>
        <w:rPr>
          <w:rFonts w:hint="eastAsia"/>
          <w:color w:val="auto"/>
          <w:szCs w:val="32"/>
          <w:highlight w:val="none"/>
          <w:lang w:eastAsia="zh-CN"/>
        </w:rPr>
        <w:t>（</w:t>
      </w:r>
      <w:r>
        <w:rPr>
          <w:rFonts w:hint="eastAsia"/>
          <w:color w:val="auto"/>
          <w:szCs w:val="32"/>
          <w:highlight w:val="none"/>
          <w:lang w:val="en-US" w:eastAsia="zh-CN"/>
        </w:rPr>
        <w:t>16</w:t>
      </w:r>
      <w:r>
        <w:rPr>
          <w:rFonts w:hint="eastAsia"/>
          <w:color w:val="auto"/>
          <w:szCs w:val="32"/>
          <w:highlight w:val="none"/>
          <w:lang w:eastAsia="zh-CN"/>
        </w:rPr>
        <w:t>）应明确</w:t>
      </w:r>
      <w:r>
        <w:rPr>
          <w:rFonts w:hint="eastAsia"/>
          <w:color w:val="auto"/>
          <w:szCs w:val="32"/>
          <w:highlight w:val="none"/>
        </w:rPr>
        <w:t>对操作者的培训要求等</w:t>
      </w:r>
      <w:r>
        <w:rPr>
          <w:rFonts w:hint="eastAsia"/>
          <w:color w:val="auto"/>
          <w:szCs w:val="32"/>
          <w:highlight w:val="none"/>
          <w:lang w:eastAsia="zh-CN"/>
        </w:rPr>
        <w:t>；</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17</w:t>
      </w:r>
      <w:r>
        <w:rPr>
          <w:rFonts w:hint="eastAsia"/>
          <w:color w:val="auto"/>
          <w:szCs w:val="32"/>
          <w:highlight w:val="none"/>
          <w:lang w:eastAsia="zh-CN"/>
        </w:rPr>
        <w:t>）应</w:t>
      </w:r>
      <w:r>
        <w:rPr>
          <w:rFonts w:hint="eastAsia"/>
          <w:color w:val="auto"/>
          <w:szCs w:val="32"/>
          <w:highlight w:val="none"/>
        </w:rPr>
        <w:t>明确日常保养及维护的方法和周期；设备的保养和维护方法。包括预防性检查和保养的方法与周期，必要时规定合适的消毒剂。</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对于电池供电的设备应明确说明电池不能自动地保持在完全可用的状态，应提出警告，规定应对该附加电池进行定期检查和更换；应说明电池规格和正常工作的小时数；电池长期不用应取出的说明；可充电电池的安全使用和保养说明。</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18</w:t>
      </w:r>
      <w:r>
        <w:rPr>
          <w:rFonts w:hint="eastAsia"/>
          <w:color w:val="auto"/>
          <w:szCs w:val="32"/>
          <w:highlight w:val="none"/>
          <w:lang w:eastAsia="zh-CN"/>
        </w:rPr>
        <w:t>）应</w:t>
      </w:r>
      <w:r>
        <w:rPr>
          <w:rFonts w:hint="eastAsia"/>
          <w:color w:val="auto"/>
          <w:szCs w:val="32"/>
          <w:highlight w:val="none"/>
        </w:rPr>
        <w:t>明确异常情况下的紧急处理措施</w:t>
      </w:r>
      <w:r>
        <w:rPr>
          <w:rFonts w:hint="eastAsia"/>
          <w:color w:val="auto"/>
          <w:szCs w:val="32"/>
          <w:highlight w:val="none"/>
          <w:lang w:eastAsia="zh-CN"/>
        </w:rPr>
        <w:t>及</w:t>
      </w:r>
      <w:r>
        <w:rPr>
          <w:rFonts w:hint="eastAsia"/>
          <w:color w:val="auto"/>
          <w:szCs w:val="32"/>
          <w:highlight w:val="none"/>
        </w:rPr>
        <w:t>特殊情况下（停电等）的注意事项</w:t>
      </w:r>
      <w:r>
        <w:rPr>
          <w:rFonts w:hint="eastAsia"/>
          <w:color w:val="auto"/>
          <w:szCs w:val="32"/>
          <w:highlight w:val="none"/>
          <w:lang w:eastAsia="zh-CN"/>
        </w:rPr>
        <w:t>。如，</w:t>
      </w:r>
      <w:r>
        <w:rPr>
          <w:rFonts w:hint="eastAsia"/>
          <w:color w:val="auto"/>
          <w:szCs w:val="32"/>
          <w:highlight w:val="none"/>
        </w:rPr>
        <w:t>可能出现的误操作及误操作可能造成的伤害；如使用其他配件或材料会降低最低安全性，</w:t>
      </w:r>
      <w:r>
        <w:rPr>
          <w:rFonts w:hint="eastAsia"/>
          <w:color w:val="auto"/>
          <w:szCs w:val="32"/>
          <w:highlight w:val="none"/>
          <w:lang w:eastAsia="zh-CN"/>
        </w:rPr>
        <w:t>应说明</w:t>
      </w:r>
      <w:r>
        <w:rPr>
          <w:rFonts w:hint="eastAsia"/>
          <w:color w:val="auto"/>
          <w:szCs w:val="32"/>
          <w:highlight w:val="none"/>
        </w:rPr>
        <w:t>对被认可的附件、可更换的部件和材料；对不能保持在完全可用状态的电池电源的警告；安全使用期限；不可与患者或使用者直接接触部分的提示。</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19</w:t>
      </w:r>
      <w:r>
        <w:rPr>
          <w:rFonts w:hint="eastAsia"/>
          <w:color w:val="auto"/>
          <w:szCs w:val="32"/>
          <w:highlight w:val="none"/>
          <w:lang w:eastAsia="zh-CN"/>
        </w:rPr>
        <w:t>）</w:t>
      </w:r>
      <w:r>
        <w:rPr>
          <w:rFonts w:hint="eastAsia"/>
          <w:color w:val="auto"/>
          <w:szCs w:val="32"/>
          <w:highlight w:val="none"/>
        </w:rPr>
        <w:t>对设备所用的图形、符号、缩写等内容的解释，如：所有的电击防护分类、警告性说明和警告性符号的解释，特别是操作及控制部件附近特殊符号的说明。</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eastAsia="zh-CN"/>
        </w:rPr>
        <w:t>（</w:t>
      </w:r>
      <w:r>
        <w:rPr>
          <w:rFonts w:hint="eastAsia"/>
          <w:color w:val="auto"/>
          <w:szCs w:val="32"/>
          <w:highlight w:val="none"/>
          <w:lang w:val="en-US" w:eastAsia="zh-CN"/>
        </w:rPr>
        <w:t>20</w:t>
      </w:r>
      <w:r>
        <w:rPr>
          <w:rFonts w:hint="eastAsia"/>
          <w:color w:val="auto"/>
          <w:szCs w:val="32"/>
          <w:highlight w:val="none"/>
          <w:lang w:eastAsia="zh-CN"/>
        </w:rPr>
        <w:t>）提供</w:t>
      </w:r>
      <w:r>
        <w:rPr>
          <w:rFonts w:hint="eastAsia"/>
          <w:color w:val="auto"/>
          <w:szCs w:val="32"/>
          <w:highlight w:val="none"/>
        </w:rPr>
        <w:t>可能出现的故障及对故障原因的分析，特别是使用中如果发生指示灯不亮，风机、灯泡均不工作；但灯泡不亮，并有吱吱声；亮度不足等故障情况；</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明确需要生产单位排除的故障和使用者排除的故障；</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rPr>
        <w:t>需要使用者排除的故障的排除方法等。</w:t>
      </w:r>
    </w:p>
    <w:p>
      <w:pPr>
        <w:keepNext w:val="0"/>
        <w:keepLines w:val="0"/>
        <w:pageBreakBefore w:val="0"/>
        <w:numPr>
          <w:ilvl w:val="0"/>
          <w:numId w:val="6"/>
        </w:numPr>
        <w:kinsoku/>
        <w:wordWrap/>
        <w:overflowPunct/>
        <w:topLinePunct w:val="0"/>
        <w:bidi w:val="0"/>
        <w:adjustRightInd/>
        <w:spacing w:line="560" w:lineRule="exact"/>
        <w:ind w:firstLine="640" w:firstLineChars="200"/>
        <w:textAlignment w:val="auto"/>
        <w:rPr>
          <w:rFonts w:hint="eastAsia"/>
          <w:color w:val="auto"/>
          <w:szCs w:val="32"/>
          <w:highlight w:val="none"/>
        </w:rPr>
      </w:pPr>
      <w:r>
        <w:rPr>
          <w:rFonts w:hint="eastAsia"/>
          <w:color w:val="auto"/>
          <w:szCs w:val="32"/>
          <w:highlight w:val="none"/>
        </w:rPr>
        <w:t>电磁兼容性提示，列出符合电磁兼容标准要求的电缆、电缆最大长度（若适用）、换能器等信息；警示使用制造商上述规定外部件对设备造成的影响；警示该设备与其他设备接近或叠放时是否影响设备正常运行；规定该设备的使用电磁环境参数表（包括电磁发射和电磁抗扰度）；该设备与移动射频通信设备间的推荐距离参数表。</w:t>
      </w:r>
    </w:p>
    <w:p>
      <w:pPr>
        <w:keepNext w:val="0"/>
        <w:keepLines w:val="0"/>
        <w:pageBreakBefore w:val="0"/>
        <w:numPr>
          <w:ilvl w:val="0"/>
          <w:numId w:val="6"/>
        </w:numPr>
        <w:kinsoku/>
        <w:wordWrap/>
        <w:overflowPunct/>
        <w:topLinePunct w:val="0"/>
        <w:bidi w:val="0"/>
        <w:adjustRightInd/>
        <w:spacing w:line="560" w:lineRule="exact"/>
        <w:ind w:firstLine="640" w:firstLineChars="200"/>
        <w:textAlignment w:val="auto"/>
        <w:rPr>
          <w:rFonts w:hint="eastAsia"/>
          <w:color w:val="auto"/>
          <w:szCs w:val="32"/>
          <w:highlight w:val="none"/>
        </w:rPr>
      </w:pPr>
      <w:r>
        <w:rPr>
          <w:rFonts w:hint="eastAsia"/>
          <w:color w:val="auto"/>
          <w:szCs w:val="32"/>
          <w:highlight w:val="none"/>
        </w:rPr>
        <w:t>应明确产品的预期用途，应列明并表述正确选配件、附加功能。对产品禁忌症和不适宜人群的描述应与临床评价报告中给出的一致。</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rFonts w:hint="eastAsia"/>
          <w:color w:val="auto"/>
          <w:szCs w:val="32"/>
          <w:highlight w:val="none"/>
          <w:lang w:val="en-US" w:eastAsia="zh-CN"/>
        </w:rPr>
        <w:t xml:space="preserve">2. </w:t>
      </w:r>
      <w:r>
        <w:rPr>
          <w:rFonts w:hint="eastAsia"/>
          <w:color w:val="auto"/>
          <w:szCs w:val="32"/>
          <w:highlight w:val="none"/>
        </w:rPr>
        <w:t>标签、标记和提供信息的符号和包装标识</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 xml:space="preserve">2.1 </w:t>
      </w:r>
      <w:r>
        <w:rPr>
          <w:rFonts w:hint="eastAsia"/>
          <w:color w:val="auto"/>
          <w:szCs w:val="32"/>
          <w:highlight w:val="none"/>
        </w:rPr>
        <w:t>应包含《医疗器械说明书和标签管理规定》（国家食品药品监督管理总局令第</w:t>
      </w:r>
      <w:r>
        <w:rPr>
          <w:color w:val="auto"/>
          <w:szCs w:val="32"/>
          <w:highlight w:val="none"/>
        </w:rPr>
        <w:t>6</w:t>
      </w:r>
      <w:r>
        <w:rPr>
          <w:rFonts w:hint="eastAsia"/>
          <w:color w:val="auto"/>
          <w:szCs w:val="32"/>
          <w:highlight w:val="none"/>
        </w:rPr>
        <w:t>号）要求至少列明的内容。</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 xml:space="preserve">2.2 </w:t>
      </w:r>
      <w:r>
        <w:rPr>
          <w:rFonts w:hint="eastAsia"/>
          <w:color w:val="auto"/>
          <w:szCs w:val="32"/>
          <w:highlight w:val="none"/>
        </w:rPr>
        <w:t>应符合</w:t>
      </w:r>
      <w:r>
        <w:rPr>
          <w:color w:val="auto"/>
          <w:szCs w:val="32"/>
          <w:highlight w:val="none"/>
        </w:rPr>
        <w:t>YY/T 0466.1</w:t>
      </w:r>
      <w:r>
        <w:rPr>
          <w:rFonts w:hint="eastAsia"/>
          <w:color w:val="auto"/>
          <w:szCs w:val="32"/>
          <w:highlight w:val="none"/>
        </w:rPr>
        <w:t>的要求。</w:t>
      </w:r>
    </w:p>
    <w:p>
      <w:pPr>
        <w:keepNext w:val="0"/>
        <w:keepLines w:val="0"/>
        <w:pageBreakBefore w:val="0"/>
        <w:kinsoku/>
        <w:wordWrap/>
        <w:overflowPunct/>
        <w:topLinePunct w:val="0"/>
        <w:bidi w:val="0"/>
        <w:adjustRightInd/>
        <w:spacing w:line="560" w:lineRule="exact"/>
        <w:ind w:firstLine="640" w:firstLineChars="200"/>
        <w:textAlignment w:val="auto"/>
        <w:rPr>
          <w:color w:val="auto"/>
          <w:szCs w:val="32"/>
          <w:highlight w:val="none"/>
        </w:rPr>
      </w:pPr>
      <w:r>
        <w:rPr>
          <w:color w:val="auto"/>
          <w:szCs w:val="32"/>
          <w:highlight w:val="none"/>
        </w:rPr>
        <w:t xml:space="preserve">2.3 </w:t>
      </w:r>
      <w:r>
        <w:rPr>
          <w:rFonts w:hint="eastAsia"/>
          <w:color w:val="auto"/>
          <w:szCs w:val="32"/>
          <w:highlight w:val="none"/>
        </w:rPr>
        <w:t>说明书上应有相关标志的图示说明</w:t>
      </w:r>
      <w:r>
        <w:rPr>
          <w:rFonts w:hint="eastAsia"/>
          <w:color w:val="auto"/>
          <w:szCs w:val="32"/>
          <w:highlight w:val="none"/>
          <w:lang w:eastAsia="zh-CN"/>
        </w:rPr>
        <w:t>应符合</w:t>
      </w:r>
      <w:r>
        <w:rPr>
          <w:rFonts w:hint="eastAsia"/>
          <w:color w:val="auto"/>
          <w:szCs w:val="32"/>
          <w:highlight w:val="none"/>
        </w:rPr>
        <w:t>标准</w:t>
      </w:r>
      <w:r>
        <w:rPr>
          <w:color w:val="auto"/>
          <w:szCs w:val="32"/>
          <w:highlight w:val="none"/>
        </w:rPr>
        <w:t>GB/T 191</w:t>
      </w:r>
      <w:r>
        <w:rPr>
          <w:rFonts w:hint="eastAsia"/>
          <w:color w:val="auto"/>
          <w:szCs w:val="32"/>
          <w:highlight w:val="none"/>
        </w:rPr>
        <w:t>。</w:t>
      </w:r>
    </w:p>
    <w:bookmarkEnd w:id="88"/>
    <w:bookmarkEnd w:id="89"/>
    <w:p>
      <w:pPr>
        <w:keepNext w:val="0"/>
        <w:keepLines w:val="0"/>
        <w:pageBreakBefore w:val="0"/>
        <w:kinsoku/>
        <w:wordWrap/>
        <w:overflowPunct/>
        <w:topLinePunct w:val="0"/>
        <w:bidi w:val="0"/>
        <w:adjustRightInd/>
        <w:spacing w:line="560" w:lineRule="exact"/>
        <w:ind w:firstLine="640" w:firstLineChars="200"/>
        <w:textAlignment w:val="auto"/>
        <w:outlineLvl w:val="0"/>
        <w:rPr>
          <w:rFonts w:ascii="黑体" w:hAnsi="黑体" w:eastAsia="黑体"/>
          <w:color w:val="auto"/>
          <w:szCs w:val="32"/>
          <w:highlight w:val="none"/>
        </w:rPr>
      </w:pPr>
      <w:bookmarkStart w:id="90" w:name="_Toc504"/>
      <w:bookmarkStart w:id="91" w:name="_Toc30599"/>
      <w:bookmarkStart w:id="92" w:name="_Toc6835"/>
      <w:r>
        <w:rPr>
          <w:rFonts w:hint="eastAsia" w:ascii="黑体" w:hAnsi="黑体" w:eastAsia="黑体"/>
          <w:color w:val="auto"/>
          <w:szCs w:val="32"/>
          <w:highlight w:val="none"/>
          <w:lang w:eastAsia="zh-CN"/>
        </w:rPr>
        <w:t>三</w:t>
      </w:r>
      <w:r>
        <w:rPr>
          <w:rFonts w:ascii="黑体" w:hAnsi="黑体" w:eastAsia="黑体"/>
          <w:color w:val="auto"/>
          <w:szCs w:val="32"/>
          <w:highlight w:val="none"/>
        </w:rPr>
        <w:t>、参考文献</w:t>
      </w:r>
      <w:bookmarkEnd w:id="90"/>
      <w:bookmarkEnd w:id="91"/>
      <w:bookmarkEnd w:id="92"/>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[1]中华人民共和国国务院.医疗器械监督管理条例:国务院令第739号[Z].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[2]国家市场监督管理总局.医疗器械注册与备案管理办法:国家市场监督管理总局令第47号[Z].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[3]国家食品药品监督管理总局.医疗器械说明书和标签管理规定:国家食品药品监督管理总局令第6号[Z].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[4]《关于公布医疗器械注册申报资料要求和批准证明文件格式的公告》（2021年第121号）[Z].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[5]医疗器械临床评价技术指导原则（国家药品监督管理总局通告2021第73号）[Z].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[6]医疗器械软件注册审查指导原则（2022年修订版）（2022年第9号）[Z].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[7]医疗器械网络安全注册审查指导原则（2022年修订版）（2022年第7号）[Z].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[8]医疗器械产品技术要求编写指导原则（国家药品监督管理局通告2022年第8号）[Z].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[9]医疗器械安全和性能基本原则符合性技术指南（国家药监局器审中心关于发布医疗器械安全和性能基本原则符合性技术指南的通告2022年第29号）</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kern w:val="0"/>
          <w:szCs w:val="32"/>
          <w:highlight w:val="none"/>
        </w:rPr>
      </w:pPr>
      <w:r>
        <w:rPr>
          <w:color w:val="auto"/>
          <w:kern w:val="0"/>
          <w:szCs w:val="32"/>
          <w:highlight w:val="none"/>
        </w:rPr>
        <w:t xml:space="preserve"> [10]决策是否开展医疗器械临床试验技术指导原则（国家药监局关于发布医疗器械临床评价技术指导原则等5项技术指导原则的通告2021年第73号）[Z].</w:t>
      </w:r>
    </w:p>
    <w:p>
      <w:pPr>
        <w:keepNext w:val="0"/>
        <w:keepLines w:val="0"/>
        <w:pageBreakBefore w:val="0"/>
        <w:widowControl/>
        <w:kinsoku/>
        <w:wordWrap/>
        <w:overflowPunct/>
        <w:topLinePunct w:val="0"/>
        <w:bidi w:val="0"/>
        <w:adjustRightInd/>
        <w:spacing w:line="560" w:lineRule="exact"/>
        <w:ind w:firstLine="640" w:firstLineChars="200"/>
        <w:textAlignment w:val="auto"/>
        <w:rPr>
          <w:color w:val="auto"/>
          <w:szCs w:val="32"/>
          <w:highlight w:val="none"/>
        </w:rPr>
      </w:pPr>
      <w:r>
        <w:rPr>
          <w:color w:val="auto"/>
          <w:kern w:val="0"/>
          <w:szCs w:val="32"/>
          <w:highlight w:val="none"/>
        </w:rPr>
        <w:t>[11]</w:t>
      </w:r>
      <w:r>
        <w:rPr>
          <w:bCs/>
          <w:color w:val="auto"/>
          <w:szCs w:val="32"/>
          <w:highlight w:val="none"/>
        </w:rPr>
        <w:t>《医疗器械分类目录》子目录</w:t>
      </w:r>
      <w:r>
        <w:rPr>
          <w:rFonts w:hint="eastAsia"/>
          <w:bCs/>
          <w:color w:val="auto"/>
          <w:szCs w:val="32"/>
          <w:highlight w:val="none"/>
        </w:rPr>
        <w:t>02、03、05、06、16、18、20</w:t>
      </w:r>
      <w:r>
        <w:rPr>
          <w:bCs/>
          <w:color w:val="auto"/>
          <w:szCs w:val="32"/>
          <w:highlight w:val="none"/>
        </w:rPr>
        <w:t>相关产品临床评价推荐路径的通告</w:t>
      </w:r>
      <w:r>
        <w:rPr>
          <w:color w:val="auto"/>
          <w:szCs w:val="32"/>
          <w:highlight w:val="none"/>
        </w:rPr>
        <w:t>[Z].</w:t>
      </w:r>
    </w:p>
    <w:p>
      <w:pPr>
        <w:widowControl/>
        <w:spacing w:line="520" w:lineRule="exact"/>
        <w:ind w:firstLine="640"/>
        <w:rPr>
          <w:bCs/>
          <w:color w:val="auto"/>
          <w:szCs w:val="32"/>
          <w:highlight w:val="none"/>
        </w:rPr>
      </w:pPr>
      <w:r>
        <w:rPr>
          <w:bCs/>
          <w:color w:val="auto"/>
          <w:szCs w:val="32"/>
          <w:highlight w:val="none"/>
        </w:rPr>
        <w:br w:type="page"/>
      </w:r>
      <w:bookmarkStart w:id="93" w:name="_Toc2212"/>
      <w:bookmarkStart w:id="94" w:name="_Toc25268"/>
    </w:p>
    <w:bookmarkEnd w:id="93"/>
    <w:bookmarkEnd w:id="94"/>
    <w:p>
      <w:pPr>
        <w:spacing w:line="520" w:lineRule="exact"/>
        <w:ind w:firstLine="0" w:firstLineChars="0"/>
        <w:outlineLvl w:val="0"/>
        <w:rPr>
          <w:rFonts w:ascii="黑体" w:hAnsi="黑体" w:eastAsia="黑体"/>
          <w:color w:val="auto"/>
          <w:szCs w:val="32"/>
          <w:highlight w:val="none"/>
        </w:rPr>
      </w:pPr>
      <w:r>
        <w:rPr>
          <w:rFonts w:ascii="黑体" w:hAnsi="黑体" w:eastAsia="黑体"/>
          <w:color w:val="auto"/>
          <w:szCs w:val="32"/>
          <w:highlight w:val="none"/>
        </w:rPr>
        <w:t>附件1</w:t>
      </w:r>
    </w:p>
    <w:p>
      <w:pPr>
        <w:spacing w:line="520" w:lineRule="exact"/>
        <w:ind w:firstLine="0" w:firstLineChars="0"/>
        <w:jc w:val="center"/>
        <w:rPr>
          <w:rFonts w:eastAsia="方正小标宋简体"/>
          <w:color w:val="auto"/>
          <w:sz w:val="44"/>
          <w:szCs w:val="44"/>
          <w:highlight w:val="none"/>
        </w:rPr>
      </w:pPr>
      <w:bookmarkStart w:id="95" w:name="_Toc29269"/>
      <w:bookmarkStart w:id="96" w:name="_Toc27564"/>
      <w:r>
        <w:rPr>
          <w:rFonts w:hint="eastAsia" w:eastAsia="方正小标宋简体"/>
          <w:color w:val="auto"/>
          <w:sz w:val="44"/>
          <w:szCs w:val="44"/>
          <w:highlight w:val="none"/>
        </w:rPr>
        <w:t>医用内窥镜冷光源</w:t>
      </w:r>
      <w:r>
        <w:rPr>
          <w:rFonts w:eastAsia="方正小标宋简体"/>
          <w:color w:val="auto"/>
          <w:sz w:val="44"/>
          <w:szCs w:val="44"/>
          <w:highlight w:val="none"/>
        </w:rPr>
        <w:t>风险要素及示例</w:t>
      </w:r>
      <w:bookmarkEnd w:id="95"/>
      <w:bookmarkEnd w:id="96"/>
    </w:p>
    <w:p>
      <w:pPr>
        <w:spacing w:line="520" w:lineRule="exact"/>
        <w:ind w:firstLine="0" w:firstLineChars="0"/>
        <w:rPr>
          <w:rStyle w:val="33"/>
          <w:rFonts w:ascii="仿宋" w:hAnsi="仿宋" w:eastAsia="仿宋"/>
          <w:color w:val="auto"/>
          <w:szCs w:val="32"/>
          <w:highlight w:val="none"/>
        </w:rPr>
      </w:pPr>
      <w:bookmarkStart w:id="97" w:name="_Toc12314"/>
      <w:bookmarkStart w:id="98" w:name="_Toc31855"/>
      <w:r>
        <w:rPr>
          <w:rStyle w:val="33"/>
          <w:rFonts w:ascii="仿宋" w:hAnsi="仿宋" w:eastAsia="仿宋"/>
          <w:color w:val="auto"/>
          <w:sz w:val="28"/>
          <w:szCs w:val="28"/>
          <w:highlight w:val="none"/>
        </w:rPr>
        <w:t>部分</w:t>
      </w:r>
      <w:r>
        <w:rPr>
          <w:rStyle w:val="33"/>
          <w:rFonts w:hint="eastAsia" w:ascii="仿宋" w:hAnsi="仿宋" w:eastAsia="仿宋"/>
          <w:color w:val="auto"/>
          <w:sz w:val="28"/>
          <w:szCs w:val="28"/>
          <w:highlight w:val="none"/>
          <w:lang w:eastAsia="zh-CN"/>
        </w:rPr>
        <w:t>危险</w:t>
      </w:r>
      <w:r>
        <w:rPr>
          <w:rStyle w:val="33"/>
          <w:rFonts w:ascii="仿宋" w:hAnsi="仿宋" w:eastAsia="仿宋"/>
          <w:color w:val="auto"/>
          <w:sz w:val="28"/>
          <w:szCs w:val="28"/>
          <w:highlight w:val="none"/>
        </w:rPr>
        <w:t>、可预见的事件序列、</w:t>
      </w:r>
      <w:r>
        <w:rPr>
          <w:rStyle w:val="33"/>
          <w:rFonts w:hint="eastAsia" w:ascii="仿宋" w:hAnsi="仿宋" w:eastAsia="仿宋"/>
          <w:color w:val="auto"/>
          <w:sz w:val="28"/>
          <w:szCs w:val="28"/>
          <w:highlight w:val="none"/>
          <w:lang w:eastAsia="zh-CN"/>
        </w:rPr>
        <w:t>危险情况</w:t>
      </w:r>
      <w:r>
        <w:rPr>
          <w:rStyle w:val="33"/>
          <w:rFonts w:ascii="仿宋" w:hAnsi="仿宋" w:eastAsia="仿宋"/>
          <w:color w:val="auto"/>
          <w:sz w:val="28"/>
          <w:szCs w:val="28"/>
          <w:highlight w:val="none"/>
        </w:rPr>
        <w:t>和可发生的</w:t>
      </w:r>
      <w:r>
        <w:rPr>
          <w:rStyle w:val="33"/>
          <w:rFonts w:hint="eastAsia" w:ascii="仿宋" w:hAnsi="仿宋" w:eastAsia="仿宋"/>
          <w:color w:val="auto"/>
          <w:sz w:val="28"/>
          <w:szCs w:val="28"/>
          <w:highlight w:val="none"/>
          <w:lang w:eastAsia="zh-CN"/>
        </w:rPr>
        <w:t>伤害</w:t>
      </w:r>
      <w:r>
        <w:rPr>
          <w:rStyle w:val="33"/>
          <w:rFonts w:ascii="仿宋" w:hAnsi="仿宋" w:eastAsia="仿宋"/>
          <w:color w:val="auto"/>
          <w:sz w:val="28"/>
          <w:szCs w:val="28"/>
          <w:highlight w:val="none"/>
        </w:rPr>
        <w:t>之间的关系</w:t>
      </w:r>
    </w:p>
    <w:bookmarkEnd w:id="97"/>
    <w:bookmarkEnd w:id="98"/>
    <w:tbl>
      <w:tblPr>
        <w:tblStyle w:val="18"/>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
        <w:gridCol w:w="1421"/>
        <w:gridCol w:w="9"/>
        <w:gridCol w:w="2459"/>
        <w:gridCol w:w="9"/>
        <w:gridCol w:w="2248"/>
        <w:gridCol w:w="9"/>
        <w:gridCol w:w="2764"/>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9" w:type="dxa"/>
          <w:tblHeader/>
          <w:jc w:val="center"/>
        </w:trPr>
        <w:tc>
          <w:tcPr>
            <w:tcW w:w="1430" w:type="dxa"/>
            <w:gridSpan w:val="2"/>
          </w:tcPr>
          <w:p>
            <w:pPr>
              <w:widowControl/>
              <w:spacing w:line="520" w:lineRule="exact"/>
              <w:ind w:firstLine="0" w:firstLineChars="0"/>
              <w:jc w:val="center"/>
              <w:rPr>
                <w:rFonts w:hint="eastAsia" w:eastAsia="仿宋_GB2312"/>
                <w:color w:val="auto"/>
                <w:kern w:val="0"/>
                <w:sz w:val="28"/>
                <w:szCs w:val="28"/>
                <w:highlight w:val="none"/>
                <w:lang w:eastAsia="zh-CN"/>
              </w:rPr>
            </w:pPr>
            <w:r>
              <w:rPr>
                <w:rFonts w:hint="eastAsia"/>
                <w:color w:val="auto"/>
                <w:kern w:val="0"/>
                <w:sz w:val="28"/>
                <w:szCs w:val="28"/>
                <w:highlight w:val="none"/>
                <w:lang w:eastAsia="zh-CN"/>
              </w:rPr>
              <w:t>危险</w:t>
            </w:r>
          </w:p>
        </w:tc>
        <w:tc>
          <w:tcPr>
            <w:tcW w:w="2468" w:type="dxa"/>
            <w:gridSpan w:val="2"/>
          </w:tcPr>
          <w:p>
            <w:pPr>
              <w:widowControl/>
              <w:spacing w:line="520" w:lineRule="exact"/>
              <w:ind w:firstLine="0" w:firstLineChars="0"/>
              <w:jc w:val="center"/>
              <w:rPr>
                <w:color w:val="auto"/>
                <w:kern w:val="0"/>
                <w:sz w:val="28"/>
                <w:szCs w:val="28"/>
                <w:highlight w:val="none"/>
              </w:rPr>
            </w:pPr>
            <w:r>
              <w:rPr>
                <w:color w:val="auto"/>
                <w:kern w:val="0"/>
                <w:sz w:val="28"/>
                <w:szCs w:val="28"/>
                <w:highlight w:val="none"/>
              </w:rPr>
              <w:t>可预见的事件序列</w:t>
            </w:r>
          </w:p>
        </w:tc>
        <w:tc>
          <w:tcPr>
            <w:tcW w:w="2257" w:type="dxa"/>
            <w:gridSpan w:val="2"/>
          </w:tcPr>
          <w:p>
            <w:pPr>
              <w:widowControl/>
              <w:spacing w:line="520" w:lineRule="exact"/>
              <w:ind w:firstLine="0" w:firstLineChars="0"/>
              <w:jc w:val="center"/>
              <w:rPr>
                <w:rFonts w:hint="eastAsia" w:eastAsia="仿宋_GB2312"/>
                <w:color w:val="auto"/>
                <w:kern w:val="0"/>
                <w:sz w:val="28"/>
                <w:szCs w:val="28"/>
                <w:highlight w:val="none"/>
                <w:lang w:eastAsia="zh-CN"/>
              </w:rPr>
            </w:pPr>
            <w:r>
              <w:rPr>
                <w:color w:val="auto"/>
                <w:kern w:val="0"/>
                <w:sz w:val="28"/>
                <w:szCs w:val="28"/>
                <w:highlight w:val="none"/>
              </w:rPr>
              <w:t>危害</w:t>
            </w:r>
            <w:r>
              <w:rPr>
                <w:rFonts w:hint="eastAsia"/>
                <w:color w:val="auto"/>
                <w:kern w:val="0"/>
                <w:sz w:val="28"/>
                <w:szCs w:val="28"/>
                <w:highlight w:val="none"/>
                <w:lang w:eastAsia="zh-CN"/>
              </w:rPr>
              <w:t>情况</w:t>
            </w:r>
          </w:p>
        </w:tc>
        <w:tc>
          <w:tcPr>
            <w:tcW w:w="2773" w:type="dxa"/>
            <w:gridSpan w:val="2"/>
          </w:tcPr>
          <w:p>
            <w:pPr>
              <w:widowControl/>
              <w:spacing w:line="520" w:lineRule="exact"/>
              <w:ind w:firstLine="0" w:firstLineChars="0"/>
              <w:jc w:val="center"/>
              <w:rPr>
                <w:rFonts w:hint="eastAsia" w:eastAsia="仿宋_GB2312"/>
                <w:color w:val="auto"/>
                <w:kern w:val="0"/>
                <w:sz w:val="28"/>
                <w:szCs w:val="28"/>
                <w:highlight w:val="none"/>
                <w:lang w:eastAsia="zh-CN"/>
              </w:rPr>
            </w:pPr>
            <w:r>
              <w:rPr>
                <w:rFonts w:hint="eastAsia"/>
                <w:color w:val="auto"/>
                <w:kern w:val="0"/>
                <w:sz w:val="28"/>
                <w:szCs w:val="28"/>
                <w:highlight w:val="none"/>
                <w:lang w:eastAsia="zh-CN"/>
              </w:rPr>
              <w:t>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电磁能</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在强电磁辐射源边使用医用内窥镜冷光源</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电磁干扰程序运行</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照明光源输出光通量波动或无法开启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357"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静电放电</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干扰程序运行</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照明光源输出光通量波动或无法开启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357" w:hRule="atLeast"/>
          <w:jc w:val="center"/>
        </w:trPr>
        <w:tc>
          <w:tcPr>
            <w:tcW w:w="1430"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声能</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噪音超</w:t>
            </w:r>
            <w:r>
              <w:rPr>
                <w:rFonts w:hint="eastAsia"/>
                <w:color w:val="auto"/>
                <w:kern w:val="0"/>
                <w:sz w:val="28"/>
                <w:szCs w:val="28"/>
                <w:highlight w:val="none"/>
              </w:rPr>
              <w:t>标</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操作人员注意力不集中操作失误。 造成患者或操作者不适。</w:t>
            </w:r>
          </w:p>
        </w:tc>
        <w:tc>
          <w:tcPr>
            <w:tcW w:w="2773"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导致人体感觉不舒服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725" w:hRule="atLeast"/>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光辐射</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光源发出的光辐射能量过高或输出光的红外能量太高</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光辐射能量过高</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造成患者体腔粘膜灼伤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436"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内窥镜输出光照射人眼</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使用时输出光照射人眼</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造成操作者或患者人员视网膜受伤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672" w:hRule="atLeast"/>
          <w:jc w:val="center"/>
        </w:trPr>
        <w:tc>
          <w:tcPr>
            <w:tcW w:w="1430"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漏电流</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产品漏电流超标</w:t>
            </w:r>
          </w:p>
        </w:tc>
        <w:tc>
          <w:tcPr>
            <w:tcW w:w="2257" w:type="dxa"/>
            <w:gridSpan w:val="2"/>
          </w:tcPr>
          <w:p>
            <w:pPr>
              <w:widowControl/>
              <w:spacing w:line="520" w:lineRule="exact"/>
              <w:ind w:firstLine="0" w:firstLineChars="0"/>
              <w:rPr>
                <w:rFonts w:hint="eastAsia" w:eastAsia="仿宋_GB2312"/>
                <w:color w:val="auto"/>
                <w:kern w:val="0"/>
                <w:sz w:val="28"/>
                <w:szCs w:val="28"/>
                <w:highlight w:val="none"/>
                <w:lang w:eastAsia="zh-CN"/>
              </w:rPr>
            </w:pPr>
            <w:r>
              <w:rPr>
                <w:color w:val="auto"/>
                <w:kern w:val="0"/>
                <w:sz w:val="28"/>
                <w:szCs w:val="28"/>
                <w:highlight w:val="none"/>
              </w:rPr>
              <w:t>外壳、光输出孔与带电部分隔离/保护不够</w:t>
            </w:r>
            <w:r>
              <w:rPr>
                <w:rFonts w:hint="eastAsia"/>
                <w:color w:val="auto"/>
                <w:kern w:val="0"/>
                <w:sz w:val="28"/>
                <w:szCs w:val="28"/>
                <w:highlight w:val="none"/>
              </w:rPr>
              <w:t>/绝缘</w:t>
            </w:r>
            <w:r>
              <w:rPr>
                <w:rFonts w:hint="eastAsia"/>
                <w:color w:val="auto"/>
                <w:kern w:val="0"/>
                <w:sz w:val="28"/>
                <w:szCs w:val="28"/>
                <w:highlight w:val="none"/>
                <w:lang w:eastAsia="zh-CN"/>
              </w:rPr>
              <w:t>失效</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漏电流超出允许值，导致人体感觉不舒服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热能</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电池漏液</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使用环境过热</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产品损坏，严重时起火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灯泡、反光灯杯爆裂</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散热装置失效或灯泡老化严重</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产品损坏，严重时起火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754"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光输出口温度超高</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对操作者接触部位和患者手术部位过热</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对操作者和患者造成灼伤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68" w:hRule="atLeast"/>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机械能</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坠落导致机械部件松动</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便携式光源灯泡受损</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光源无有效输出，手术无法正常进行。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68"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机械装置松动</w:t>
            </w:r>
          </w:p>
        </w:tc>
        <w:tc>
          <w:tcPr>
            <w:tcW w:w="2257"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附件/连接接口失效</w:t>
            </w:r>
          </w:p>
        </w:tc>
        <w:tc>
          <w:tcPr>
            <w:tcW w:w="2773"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砸伤患者、操作者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68"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设备重心不稳</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设备倾斜、翻倒</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砸伤患者、操作者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68"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设备</w:t>
            </w:r>
            <w:r>
              <w:rPr>
                <w:color w:val="auto"/>
                <w:kern w:val="0"/>
                <w:sz w:val="28"/>
                <w:szCs w:val="28"/>
                <w:highlight w:val="none"/>
              </w:rPr>
              <w:t>的边缘和毛刺</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操作者或患者行走中接触到这些部位；操作者移动设备时碰触到这些部位</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损伤可触及的操作者、患者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68"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送气压力不合适</w:t>
            </w:r>
          </w:p>
        </w:tc>
        <w:tc>
          <w:tcPr>
            <w:tcW w:w="2257"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送气压力过大</w:t>
            </w:r>
          </w:p>
        </w:tc>
        <w:tc>
          <w:tcPr>
            <w:tcW w:w="2773"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对患者黏膜造成伤害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jc w:val="center"/>
        </w:trPr>
        <w:tc>
          <w:tcPr>
            <w:tcW w:w="1430"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不正确的测量</w:t>
            </w:r>
          </w:p>
        </w:tc>
        <w:tc>
          <w:tcPr>
            <w:tcW w:w="2468"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冷光源输出亮度指示不正确</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冷光源不能正确指标输出光通量</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误导操作者，不能正确的调节冷光源的亮度输出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55" w:hRule="atLeast"/>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操作错误</w:t>
            </w:r>
          </w:p>
        </w:tc>
        <w:tc>
          <w:tcPr>
            <w:tcW w:w="2468" w:type="dxa"/>
            <w:gridSpan w:val="2"/>
            <w:tcBorders>
              <w:bottom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导光束与冷光源配合未插入到位</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冷光源光通量输出值偏低</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光源输出光通量不能满足临床要求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840"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bottom w:val="single" w:color="auto" w:sz="4" w:space="0"/>
              <w:right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供电电压过低</w:t>
            </w:r>
          </w:p>
        </w:tc>
        <w:tc>
          <w:tcPr>
            <w:tcW w:w="2257" w:type="dxa"/>
            <w:gridSpan w:val="2"/>
            <w:tcBorders>
              <w:left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便携式光源电池电压过低，造成光源输出光通量明显下降</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光源输出光通量不能满足临床要求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照明输出总调在最高状态</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可能会引起光出射窗前部的高温危害</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造成操作者和患者烧伤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插入不合适的导光束</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冷光源光通量输出值不准确</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冷光源输出光通量不能满足临床要求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插入不合适的导光束</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可能会引起冷光源损坏</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冷光源灯泡或其他灯组件永久损坏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导光束与内窥镜连接未到位或连接故障</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冷光源光通量输出值偏低</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光源输出光通量不能满足临床要求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导光束与内窥镜连接未到位或连接故障</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导光束与内窥镜连接处高温危害</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造成操作者和患者烧伤，严重时可引燃其他可燃物（如手术巾），引起火灾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错误的方法更换冷光源灯泡</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冷光源光通量输出值不准确</w:t>
            </w:r>
          </w:p>
        </w:tc>
        <w:tc>
          <w:tcPr>
            <w:tcW w:w="2773"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冷光源输出光通量不能满足临床要求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929" w:hRule="atLeast"/>
          <w:jc w:val="center"/>
        </w:trPr>
        <w:tc>
          <w:tcPr>
            <w:tcW w:w="1430"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标记</w:t>
            </w:r>
          </w:p>
        </w:tc>
        <w:tc>
          <w:tcPr>
            <w:tcW w:w="2468" w:type="dxa"/>
            <w:gridSpan w:val="2"/>
            <w:tcBorders>
              <w:top w:val="single" w:color="auto" w:sz="4" w:space="0"/>
            </w:tcBorders>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贴在设备上警告标识不清晰</w:t>
            </w:r>
          </w:p>
        </w:tc>
        <w:tc>
          <w:tcPr>
            <w:tcW w:w="2257" w:type="dxa"/>
            <w:gridSpan w:val="2"/>
            <w:vAlign w:val="center"/>
          </w:tcPr>
          <w:p>
            <w:pPr>
              <w:widowControl/>
              <w:spacing w:line="520" w:lineRule="exact"/>
              <w:ind w:firstLine="0" w:firstLineChars="0"/>
              <w:rPr>
                <w:color w:val="auto"/>
                <w:kern w:val="0"/>
                <w:sz w:val="28"/>
                <w:szCs w:val="28"/>
                <w:highlight w:val="none"/>
              </w:rPr>
            </w:pPr>
            <w:r>
              <w:rPr>
                <w:color w:val="auto"/>
                <w:kern w:val="0"/>
                <w:sz w:val="28"/>
                <w:szCs w:val="28"/>
                <w:highlight w:val="none"/>
              </w:rPr>
              <w:t>信息的显示不明确导致误操作； 贴示位置不对有可能引起误操作。</w:t>
            </w:r>
          </w:p>
        </w:tc>
        <w:tc>
          <w:tcPr>
            <w:tcW w:w="2773" w:type="dxa"/>
            <w:gridSpan w:val="2"/>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对患者、使用者造成伤害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212" w:hRule="atLeast"/>
          <w:jc w:val="center"/>
        </w:trPr>
        <w:tc>
          <w:tcPr>
            <w:tcW w:w="1430" w:type="dxa"/>
            <w:gridSpan w:val="2"/>
            <w:vMerge w:val="restart"/>
          </w:tcPr>
          <w:p>
            <w:pPr>
              <w:widowControl/>
              <w:spacing w:line="520" w:lineRule="exact"/>
              <w:ind w:firstLine="0" w:firstLineChars="0"/>
              <w:rPr>
                <w:color w:val="auto"/>
                <w:kern w:val="0"/>
                <w:sz w:val="28"/>
                <w:szCs w:val="28"/>
                <w:highlight w:val="none"/>
              </w:rPr>
            </w:pPr>
            <w:r>
              <w:rPr>
                <w:color w:val="auto"/>
                <w:kern w:val="0"/>
                <w:sz w:val="28"/>
                <w:szCs w:val="28"/>
                <w:highlight w:val="none"/>
              </w:rPr>
              <w:t>不完整的说明书</w:t>
            </w:r>
          </w:p>
        </w:tc>
        <w:tc>
          <w:tcPr>
            <w:tcW w:w="2468" w:type="dxa"/>
            <w:gridSpan w:val="2"/>
            <w:tcBorders>
              <w:top w:val="single" w:color="auto" w:sz="4" w:space="0"/>
            </w:tcBorders>
          </w:tcPr>
          <w:p>
            <w:pPr>
              <w:widowControl/>
              <w:spacing w:line="520" w:lineRule="exact"/>
              <w:ind w:firstLine="0" w:firstLineChars="0"/>
              <w:rPr>
                <w:color w:val="auto"/>
                <w:kern w:val="0"/>
                <w:sz w:val="28"/>
                <w:szCs w:val="28"/>
                <w:highlight w:val="none"/>
              </w:rPr>
            </w:pPr>
            <w:r>
              <w:rPr>
                <w:rFonts w:hint="eastAsia"/>
                <w:color w:val="auto"/>
                <w:kern w:val="0"/>
                <w:sz w:val="28"/>
                <w:szCs w:val="28"/>
                <w:highlight w:val="none"/>
              </w:rPr>
              <w:t>未对清洗、消毒程序作出详细说明</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使用有腐蚀性的清洁剂、消毒剂</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产品部件腐蚀，防护性能降低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212"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 xml:space="preserve">未对部件/附件使用作出详细说明； </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 xml:space="preserve">设备不能正常工作； </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损坏设备、使用者</w:t>
            </w:r>
            <w:r>
              <w:rPr>
                <w:rFonts w:hint="eastAsia"/>
                <w:color w:val="auto"/>
                <w:kern w:val="0"/>
                <w:sz w:val="28"/>
                <w:szCs w:val="28"/>
                <w:highlight w:val="none"/>
              </w:rPr>
              <w:t>产生</w:t>
            </w:r>
            <w:r>
              <w:rPr>
                <w:color w:val="auto"/>
                <w:kern w:val="0"/>
                <w:sz w:val="28"/>
                <w:szCs w:val="28"/>
                <w:highlight w:val="none"/>
              </w:rPr>
              <w:t>危险、伤害患者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1212"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未对部件/附件安装作出说明；</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错误的安装、操作；</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损坏设备、使用者产生危险、伤害患者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515" w:hRule="atLeast"/>
          <w:jc w:val="center"/>
        </w:trPr>
        <w:tc>
          <w:tcPr>
            <w:tcW w:w="1430" w:type="dxa"/>
            <w:gridSpan w:val="2"/>
            <w:vMerge w:val="continue"/>
          </w:tcPr>
          <w:p>
            <w:pPr>
              <w:widowControl/>
              <w:spacing w:line="520" w:lineRule="exact"/>
              <w:ind w:firstLine="0" w:firstLineChars="0"/>
              <w:rPr>
                <w:color w:val="auto"/>
                <w:kern w:val="0"/>
                <w:sz w:val="28"/>
                <w:szCs w:val="28"/>
                <w:highlight w:val="none"/>
              </w:rPr>
            </w:pPr>
          </w:p>
        </w:tc>
        <w:tc>
          <w:tcPr>
            <w:tcW w:w="2468" w:type="dxa"/>
            <w:gridSpan w:val="2"/>
            <w:tcBorders>
              <w:top w:val="single" w:color="auto" w:sz="4" w:space="0"/>
              <w:bottom w:val="single" w:color="auto" w:sz="4" w:space="0"/>
            </w:tcBorders>
          </w:tcPr>
          <w:p>
            <w:pPr>
              <w:widowControl/>
              <w:spacing w:line="520" w:lineRule="exact"/>
              <w:ind w:firstLine="0" w:firstLineChars="0"/>
              <w:rPr>
                <w:color w:val="auto"/>
                <w:kern w:val="0"/>
                <w:sz w:val="28"/>
                <w:szCs w:val="28"/>
                <w:highlight w:val="none"/>
              </w:rPr>
            </w:pPr>
            <w:r>
              <w:rPr>
                <w:color w:val="auto"/>
                <w:kern w:val="0"/>
                <w:sz w:val="28"/>
                <w:szCs w:val="28"/>
                <w:highlight w:val="none"/>
              </w:rPr>
              <w:t>不正确的产品贮存条件</w:t>
            </w:r>
          </w:p>
        </w:tc>
        <w:tc>
          <w:tcPr>
            <w:tcW w:w="2257"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器件老化，部件寿命降低</w:t>
            </w:r>
          </w:p>
        </w:tc>
        <w:tc>
          <w:tcPr>
            <w:tcW w:w="2773" w:type="dxa"/>
            <w:gridSpan w:val="2"/>
          </w:tcPr>
          <w:p>
            <w:pPr>
              <w:widowControl/>
              <w:spacing w:line="520" w:lineRule="exact"/>
              <w:ind w:firstLine="0" w:firstLineChars="0"/>
              <w:rPr>
                <w:color w:val="auto"/>
                <w:kern w:val="0"/>
                <w:sz w:val="28"/>
                <w:szCs w:val="28"/>
                <w:highlight w:val="none"/>
              </w:rPr>
            </w:pPr>
            <w:r>
              <w:rPr>
                <w:color w:val="auto"/>
                <w:kern w:val="0"/>
                <w:sz w:val="28"/>
                <w:szCs w:val="28"/>
                <w:highlight w:val="none"/>
              </w:rPr>
              <w:t>产品寿命降低，导致测量值误差过大</w:t>
            </w:r>
          </w:p>
        </w:tc>
      </w:tr>
    </w:tbl>
    <w:p>
      <w:pPr>
        <w:spacing w:line="520" w:lineRule="exact"/>
        <w:ind w:firstLine="640"/>
        <w:rPr>
          <w:color w:val="auto"/>
          <w:szCs w:val="32"/>
          <w:highlight w:val="none"/>
        </w:rPr>
      </w:pPr>
    </w:p>
    <w:p>
      <w:pPr>
        <w:spacing w:line="520" w:lineRule="exact"/>
        <w:ind w:firstLine="0" w:firstLineChars="0"/>
        <w:outlineLvl w:val="0"/>
        <w:rPr>
          <w:rFonts w:ascii="黑体" w:hAnsi="黑体" w:eastAsia="黑体"/>
          <w:color w:val="auto"/>
          <w:szCs w:val="32"/>
          <w:highlight w:val="none"/>
        </w:rPr>
      </w:pPr>
      <w:r>
        <w:rPr>
          <w:color w:val="auto"/>
          <w:szCs w:val="32"/>
          <w:highlight w:val="none"/>
        </w:rPr>
        <w:br w:type="page"/>
      </w:r>
      <w:r>
        <w:rPr>
          <w:rFonts w:ascii="黑体" w:hAnsi="黑体" w:eastAsia="黑体"/>
          <w:color w:val="auto"/>
          <w:szCs w:val="32"/>
          <w:highlight w:val="none"/>
        </w:rPr>
        <w:t xml:space="preserve">附件2 </w:t>
      </w:r>
    </w:p>
    <w:p>
      <w:pPr>
        <w:spacing w:line="520" w:lineRule="exact"/>
        <w:ind w:firstLine="0" w:firstLineChars="0"/>
        <w:jc w:val="center"/>
        <w:rPr>
          <w:rFonts w:hint="eastAsia" w:eastAsia="方正小标宋简体"/>
          <w:color w:val="auto"/>
          <w:sz w:val="44"/>
          <w:szCs w:val="44"/>
          <w:highlight w:val="none"/>
        </w:rPr>
      </w:pPr>
      <w:r>
        <w:rPr>
          <w:rFonts w:eastAsia="方正小标宋简体"/>
          <w:color w:val="auto"/>
          <w:sz w:val="44"/>
          <w:szCs w:val="44"/>
          <w:highlight w:val="none"/>
        </w:rPr>
        <w:t>医疗器械安全和性能的基本原则</w:t>
      </w:r>
      <w:r>
        <w:rPr>
          <w:rFonts w:hint="eastAsia" w:eastAsia="方正小标宋简体"/>
          <w:color w:val="auto"/>
          <w:sz w:val="44"/>
          <w:szCs w:val="44"/>
          <w:highlight w:val="none"/>
        </w:rPr>
        <w:t>清单</w:t>
      </w:r>
    </w:p>
    <w:tbl>
      <w:tblPr>
        <w:tblStyle w:val="18"/>
        <w:tblW w:w="878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66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条款</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ind w:firstLine="560"/>
              <w:jc w:val="center"/>
              <w:rPr>
                <w:rFonts w:ascii="Times New Roman" w:hAnsi="黑体"/>
                <w:color w:val="auto"/>
                <w:sz w:val="24"/>
                <w:szCs w:val="24"/>
                <w:highlight w:val="none"/>
              </w:rPr>
            </w:pPr>
            <w:r>
              <w:rPr>
                <w:rFonts w:ascii="Times New Roman" w:hAnsi="黑体"/>
                <w:color w:val="auto"/>
                <w:sz w:val="24"/>
                <w:szCs w:val="24"/>
                <w:highlight w:val="none"/>
              </w:rPr>
              <w:t>要求</w:t>
            </w:r>
          </w:p>
        </w:tc>
        <w:tc>
          <w:tcPr>
            <w:tcW w:w="1134" w:type="dxa"/>
            <w:tcBorders>
              <w:top w:val="single" w:color="auto" w:sz="4" w:space="0"/>
              <w:left w:val="single" w:color="auto" w:sz="4" w:space="0"/>
              <w:bottom w:val="single" w:color="auto" w:sz="4" w:space="0"/>
              <w:right w:val="single" w:color="auto" w:sz="4" w:space="0"/>
            </w:tcBorders>
            <w:vAlign w:val="center"/>
          </w:tcPr>
          <w:p>
            <w:pPr>
              <w:pStyle w:val="47"/>
              <w:rPr>
                <w:rFonts w:ascii="Times New Roman" w:hAnsi="黑体"/>
                <w:color w:val="auto"/>
                <w:sz w:val="24"/>
                <w:szCs w:val="24"/>
                <w:highlight w:val="none"/>
              </w:rPr>
            </w:pPr>
            <w:r>
              <w:rPr>
                <w:rFonts w:ascii="Times New Roman" w:hAnsi="黑体"/>
                <w:color w:val="auto"/>
                <w:sz w:val="24"/>
                <w:szCs w:val="24"/>
                <w:highlight w:val="none"/>
              </w:rPr>
              <w:t>适用</w:t>
            </w:r>
            <w:r>
              <w:rPr>
                <w:rFonts w:hint="eastAsia" w:ascii="Times New Roman" w:hAnsi="黑体"/>
                <w:color w:val="auto"/>
                <w:sz w:val="24"/>
                <w:szCs w:val="24"/>
                <w:highlight w:val="none"/>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auto"/>
                <w:kern w:val="0"/>
                <w:sz w:val="24"/>
                <w:szCs w:val="24"/>
                <w:highlight w:val="none"/>
              </w:rPr>
            </w:pPr>
            <w:r>
              <w:rPr>
                <w:color w:val="auto"/>
                <w:kern w:val="0"/>
                <w:sz w:val="24"/>
                <w:szCs w:val="24"/>
                <w:highlight w:val="none"/>
              </w:rPr>
              <w:t>安全和性能的通用基本原则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auto"/>
                <w:kern w:val="0"/>
                <w:sz w:val="24"/>
                <w:szCs w:val="24"/>
                <w:highlight w:val="none"/>
              </w:rPr>
            </w:pPr>
            <w:r>
              <w:rPr>
                <w:color w:val="auto"/>
                <w:kern w:val="0"/>
                <w:sz w:val="24"/>
                <w:szCs w:val="24"/>
                <w:highlight w:val="none"/>
              </w:rPr>
              <w:t>一般原则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9"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w:t>
            </w:r>
          </w:p>
        </w:tc>
        <w:tc>
          <w:tcPr>
            <w:tcW w:w="6662" w:type="dxa"/>
            <w:tcBorders>
              <w:top w:val="single" w:color="auto" w:sz="4" w:space="0"/>
              <w:left w:val="single" w:color="auto" w:sz="4" w:space="0"/>
              <w:bottom w:val="single" w:color="auto" w:sz="4" w:space="0"/>
              <w:right w:val="single" w:color="auto" w:sz="4" w:space="0"/>
            </w:tcBorders>
            <w:vAlign w:val="center"/>
          </w:tcPr>
          <w:p>
            <w:pPr>
              <w:ind w:firstLine="0" w:firstLineChars="0"/>
              <w:jc w:val="left"/>
              <w:rPr>
                <w:color w:val="auto"/>
                <w:kern w:val="0"/>
                <w:sz w:val="24"/>
                <w:szCs w:val="24"/>
                <w:highlight w:val="none"/>
              </w:rPr>
            </w:pPr>
            <w:r>
              <w:rPr>
                <w:color w:val="auto"/>
                <w:kern w:val="0"/>
                <w:sz w:val="24"/>
                <w:szCs w:val="24"/>
                <w:highlight w:val="none"/>
              </w:rPr>
              <w:t>医疗器械应当实现申请人的预期性能，其设计和生产应当确保器械在预期使用条件下达到预期目的。这些器械应当是安全的并且能够实现其预期性能，与患者受益相比，其风险应当是可接受的，且不会损害医疗环境、患者安全、使用者及他人的安全和健康。</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申请人应当建立、实施、形成文件和维护风险管理体系，确保医疗器械安全、有效且质量可控。在医疗器械全生命周期内，风险管理是一个持续、反复的过程，需要定期进行系统性的改进更新。在开展风险管理时，申请人应当：</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建立涵盖所有医疗器械风险管理计划并形成文件；</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识别并分析涵盖所有医疗器械的相关的已知和可预见的危险（源）；</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c)</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估计和评价在预期使用和可合理预见的误使用过程中，发生的相关风险；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d)</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依据A1.3和A1.4相关要求，消除或控制c）点所述的风险；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e)</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评价生产和生产后阶段信息对综合风险、风险受益判定和风险可接受性的影响。上述评价应当包括先前未识别的危险（源）或危险情况，由危险情况导致的一个或多个风险对可接受性的影响，以及对先进技术水平的改变等。f)</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基于对e）点所述信息影响的评价，必要时修改控制措施以符合A1.3和A1.4相关要求。</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7"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申请人在设计和生产过程中采取的风险控制措施，应当遵循安全原则，采用先进技术。需要降低风险时，申请人应当控制风险，确保每个危险（源）相关的剩余风险和总体剩余风险是可接受的。在选择最合适的解决方案时，申请人应当按以下优先顺序进行：</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通过安全设计和生产消除或适当降低风险；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适用时，对无法消除的风险采取充分的防护措施，包括必要的警报；</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c)</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提供安全信息（警告/预防措施/禁忌证），适当时，向使用者提供培训。</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申请人应当告知使用者所有相关的剩余风险。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4"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在消除或降低与使用有关的风险时，申请人应该：</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适当降低医疗器械的特性（如人体工程学/可用性）和预期使用环境（如灰尘和湿度）可能带来的风险；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考虑预期使用者的技术知识、经验、教育背景、培训、身体状况（如适用）以及使用环境。</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A1.6</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在申请人规定的生命周期内，在正常使用、维护和校准（如适用）情况下，外力不应对医疗器械的特性和性能造成不利影响，以致损害患者、使用者及他人的健康和安全。</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A1.7</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生产和包装，包括申请人所提供的说明和信息，应当确保在按照预期用途使用时，运输和贮存条件（例如：震动、振动、温度和湿度的波动）不会对医疗器械的特性和性能，包括完整性和清洁度，造成不利影响。申请人应能确保有效期内医疗器械的性能、安全和无菌保证水平。</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A1.8</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在货架有效期内、开封后的使用期间，以及运输或送货期间，医疗器械应具有可接受的稳定性。</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A1.9</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在正常使用条件下，基于当前先进技术水平，比较医疗器械性能带来的受益，所有已知的、可预见的风险以及任何不良副作用应最小化且可接受。</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A2</w:t>
            </w:r>
          </w:p>
        </w:tc>
        <w:tc>
          <w:tcPr>
            <w:tcW w:w="6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color w:val="auto"/>
                <w:kern w:val="0"/>
                <w:sz w:val="24"/>
                <w:szCs w:val="24"/>
                <w:highlight w:val="none"/>
              </w:rPr>
              <w:t>临床评价</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rFonts w:hint="eastAsia"/>
                <w:color w:val="auto"/>
                <w:kern w:val="0"/>
                <w:sz w:val="24"/>
                <w:szCs w:val="24"/>
                <w:highlight w:val="none"/>
              </w:rPr>
              <w:t>部分适用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化学、物理和生物学特性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关于医疗器械的化学、物理和生物学特性，应当特别注意以下几点：</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所用材料和组成成分的选择，需特别考虑：</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-毒性；</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-生物相容性；</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-易燃性；</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工艺对材料性能的影响；</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c)</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生物物理学或者建模研究结果应当事先进行验证（如适用）；</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d)</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所用材料的机械性能，如适用，应当考虑强度、延展性、断裂强度、耐磨性和抗疲劳性等属性；</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e)</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表面特性；</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f)</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器械与已规定化学和/或物理性能的符合性。</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基于医疗器械的预期用途，医疗器械的设计、生产和包装，应当尽可能减少污染物和残留物对使用者和患者，以及对从事医疗器械运输、贮存及其他相关人员造成的风险。特别要注意与使用者和患者暴露组织接触的时间和频次。</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医疗器械的设计和生产应当适当降低析出物（包括滤沥物和/或蒸发物）、降解产物、加工残留物等造成的风险。应当特别注意致癌、致突变或有生殖毒性的泄漏物或滤沥物。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医疗器械的设计和生产应当考虑到医疗器械及其预期使用环境的性质，适当降低物质意外进入器械所带来的风险。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A3.5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医疗器械及其生产工艺的设计应当能消除或适当降低对使用者和其他可能接触者的感染风险。设计应当：</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操作安全，易于处理；</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尽量减少医疗器械的微生物泄漏和/或使用过程中的感染风险；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c)</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防止医疗器械或其内容物（例如：标本）的微生物污染；</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d)</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尽量减少意外风险（例如：割伤和刺伤（如针刺伤）、意外物质溅入眼睛等）。</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480"/>
              <w:jc w:val="left"/>
              <w:rPr>
                <w:color w:val="auto"/>
                <w:kern w:val="0"/>
                <w:sz w:val="24"/>
                <w:szCs w:val="24"/>
                <w:highlight w:val="none"/>
              </w:rPr>
            </w:pPr>
            <w:r>
              <w:rPr>
                <w:color w:val="auto"/>
                <w:kern w:val="0"/>
                <w:sz w:val="24"/>
                <w:szCs w:val="24"/>
                <w:highlight w:val="none"/>
              </w:rPr>
              <w:t>灭菌和微生物污染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医疗器械其设计应当方便使用者对其进行安全清洁、消毒、灭菌和/或重复灭菌（必要时）。</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具有微生物限度要求的医疗器械，其设计、生产和包装应当确保在出厂后，按照申请人规定的条件运输和贮存，符合微生物限度要求。</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不</w:t>
            </w: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以无菌状态交付的医疗器械，其设计、生产和包装应按照适当的程序进行，以确保在出厂时无菌。在申请人规定的条件下运输和贮存的未破损无菌包装，打开前都应当保持无菌状态。应确保最终使用者可清晰地辨识包装的完整性（例如：防篡改包装）。</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无菌包装部件适用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无菌医疗器械应按照经验证的方法进行加工、生产、包装和灭菌，其货架有效期应按照经验证的方法确定。</w:t>
            </w:r>
          </w:p>
        </w:tc>
        <w:tc>
          <w:tcPr>
            <w:tcW w:w="1134" w:type="dxa"/>
            <w:tcBorders>
              <w:top w:val="single" w:color="auto" w:sz="4" w:space="0"/>
              <w:left w:val="single" w:color="auto" w:sz="4" w:space="0"/>
              <w:bottom w:val="single" w:color="auto" w:sz="4" w:space="0"/>
              <w:right w:val="single" w:color="auto" w:sz="4" w:space="0"/>
            </w:tcBorders>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无菌包装部件适用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预期无菌使用的医疗器械（申请人灭菌或使用者灭菌），均应在适当且受控的条件和设施下生产和包装。</w:t>
            </w:r>
          </w:p>
        </w:tc>
        <w:tc>
          <w:tcPr>
            <w:tcW w:w="1134" w:type="dxa"/>
            <w:tcBorders>
              <w:top w:val="single" w:color="auto" w:sz="4" w:space="0"/>
              <w:left w:val="single" w:color="auto" w:sz="4" w:space="0"/>
              <w:bottom w:val="single" w:color="auto" w:sz="4" w:space="0"/>
              <w:right w:val="single" w:color="auto" w:sz="4" w:space="0"/>
            </w:tcBorders>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无菌包装部件适用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A4.6</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以非无菌状态交付，且使用前灭菌的医疗器械：</w:t>
            </w:r>
          </w:p>
          <w:p>
            <w:pPr>
              <w:spacing w:line="400" w:lineRule="exact"/>
              <w:ind w:firstLine="0" w:firstLineChars="0"/>
              <w:rPr>
                <w:color w:val="auto"/>
                <w:kern w:val="0"/>
                <w:sz w:val="24"/>
                <w:szCs w:val="24"/>
                <w:highlight w:val="none"/>
              </w:rPr>
            </w:pPr>
            <w:r>
              <w:rPr>
                <w:color w:val="auto"/>
                <w:kern w:val="0"/>
                <w:sz w:val="24"/>
                <w:szCs w:val="24"/>
                <w:highlight w:val="none"/>
              </w:rPr>
              <w:t>a)</w:t>
            </w:r>
            <w:r>
              <w:rPr>
                <w:color w:val="auto"/>
                <w:kern w:val="0"/>
                <w:sz w:val="24"/>
                <w:szCs w:val="24"/>
                <w:highlight w:val="none"/>
              </w:rPr>
              <w:tab/>
            </w:r>
            <w:r>
              <w:rPr>
                <w:color w:val="auto"/>
                <w:kern w:val="0"/>
                <w:sz w:val="24"/>
                <w:szCs w:val="24"/>
                <w:highlight w:val="none"/>
              </w:rPr>
              <w:t>包装应尽量减少产品受到微生物污染的风险，且应适用于申请人规定的灭菌方法；</w:t>
            </w:r>
          </w:p>
          <w:p>
            <w:pPr>
              <w:pStyle w:val="46"/>
              <w:rPr>
                <w:rFonts w:hint="eastAsia"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申请人规定的灭菌方法应当经过验证。</w:t>
            </w:r>
          </w:p>
          <w:p>
            <w:pPr>
              <w:pStyle w:val="46"/>
              <w:rPr>
                <w:rFonts w:hint="eastAsia" w:ascii="Times New Roman" w:hAnsi="Times New Roman" w:eastAsia="仿宋_GB2312"/>
                <w:bCs w:val="0"/>
                <w:color w:val="auto"/>
                <w:sz w:val="24"/>
                <w:szCs w:val="24"/>
                <w:highlight w:val="none"/>
              </w:rPr>
            </w:pPr>
          </w:p>
        </w:tc>
        <w:tc>
          <w:tcPr>
            <w:tcW w:w="1134" w:type="dxa"/>
            <w:tcBorders>
              <w:top w:val="single" w:color="auto" w:sz="4" w:space="0"/>
              <w:left w:val="single" w:color="auto" w:sz="4" w:space="0"/>
              <w:bottom w:val="single" w:color="auto" w:sz="4" w:space="0"/>
              <w:right w:val="single" w:color="auto" w:sz="4" w:space="0"/>
            </w:tcBorders>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A4.7</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若医疗器械可以无菌和非无菌状态交付使用，应明确标识其交付状态。</w:t>
            </w:r>
          </w:p>
        </w:tc>
        <w:tc>
          <w:tcPr>
            <w:tcW w:w="1134" w:type="dxa"/>
            <w:tcBorders>
              <w:top w:val="single" w:color="auto" w:sz="4" w:space="0"/>
              <w:left w:val="single" w:color="auto" w:sz="4" w:space="0"/>
              <w:bottom w:val="single" w:color="auto" w:sz="4" w:space="0"/>
              <w:right w:val="single" w:color="auto" w:sz="4" w:space="0"/>
            </w:tcBorders>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color w:val="auto"/>
                <w:kern w:val="0"/>
                <w:sz w:val="24"/>
                <w:szCs w:val="24"/>
                <w:highlight w:val="none"/>
              </w:rPr>
              <w:t>环境和使用条件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如医疗器械预期与其他医疗器械或设备整合使用，应确保整合使用后的系统，包括连接系统，整体的安全性，且不影响器械本身的性能。整合使用上的限制应明确标识和/或在使用说明书中明确。对于需要使用者处理的连接，如液体、气体传输、电耦合或机械耦合等，在设计和生产过程中尽可能消除或降低所有可能的风险，包括错误连接或安全危害。</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医疗器械的设计和生产应当考虑预期的使用环境和使用条件，以消除或降低下列风险：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a)</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与物理和人体工程学/可用性的特性有关，对使用者或他人造成损伤的风险；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b)</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由于用户界面设计、人体工程学/可用性的特性以及预期使用环境导致的错误操作的风险；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c)</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与合理可预期的外部因素或环境条件有关的风险，如磁场、外部电磁效应、静电释放、诊断和治疗带来的辐射、压力、湿度、温度和/或压力和加速度的变化；</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d)</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正常使用条件下与固体材料、液体和其他物质，包括气体，接触而产生的风险；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e)</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软件与信息技术（IT）运行环境的兼容性造成的风险；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f)</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正常使用过程中，医疗器械非预期析出物导致的环境风险；</w:t>
            </w:r>
          </w:p>
          <w:p>
            <w:pPr>
              <w:pStyle w:val="46"/>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g)</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样本/样品/数据不正确识别和错误结果导致的风险，比如用于分析、测试或检测的样本容器、可拆卸部件和/或附件，其颜色和/或数字编码混淆；</w:t>
            </w:r>
          </w:p>
          <w:p>
            <w:pPr>
              <w:pStyle w:val="46"/>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h)</w:t>
            </w:r>
            <w:r>
              <w:rPr>
                <w:rFonts w:hint="eastAsia" w:ascii="Times New Roman" w:hAnsi="Times New Roman" w:eastAsia="仿宋_GB2312"/>
                <w:bCs w:val="0"/>
                <w:color w:val="auto"/>
                <w:sz w:val="24"/>
                <w:szCs w:val="24"/>
                <w:highlight w:val="none"/>
              </w:rPr>
              <w:tab/>
            </w:r>
            <w:r>
              <w:rPr>
                <w:rFonts w:hint="eastAsia" w:ascii="Times New Roman" w:hAnsi="Times New Roman" w:eastAsia="仿宋_GB2312"/>
                <w:bCs w:val="0"/>
                <w:color w:val="auto"/>
                <w:sz w:val="24"/>
                <w:szCs w:val="24"/>
                <w:highlight w:val="none"/>
              </w:rPr>
              <w:t>与其他用于诊断、监测或治疗的医疗器械互相干扰导致的风险。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医疗器械的设计和生产应当消除或降低在正常状态及单一故障状态下燃烧和爆炸的风险，尤其是预期用途包括暴露于易燃、易爆物质或其他可致燃物相关的器械联用。</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医疗器械的设计和生产应能确保调整、校准和维护过程能够安全有效的完成。</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对无法进行维护的医疗器械，如植入物，应尽量降低材料老化等风险；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对无法进行调整和校准的医疗器械，如某些类型的温度计，应尽量降低测量或控制机制精度的损失风险。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与其他医疗器械或产品联合使用的医疗器械，其设计和生产应能保证互操作性和兼容性可靠且安全。</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A5.6</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医疗器械的设计和生产应能降低未经授权的访问风险，这种访问可能会妨碍器械正常运行，或造成安全隐患。</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A5.7</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具有测量、监视或有数值显示功能的医疗器械，其设计和生产应当符合人体工程学/可用性原则，并应顾及器械预期用途、预期使用者、使用环境。</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A5.8</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医疗器械的设计和生产应便于使用者、患者或其他人员对其以及相关废弃物的安全处置或再利用。使用说明书应明确安全处置或回收的程序和方法。</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color w:val="auto"/>
                <w:kern w:val="0"/>
                <w:sz w:val="24"/>
                <w:szCs w:val="24"/>
                <w:highlight w:val="none"/>
              </w:rPr>
              <w:t>对电气、机械和热风险的防护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医疗器械的设计和生产应具有机械相关的防护，保护使用者免于承受由诸如运动阻力、不稳定性和活动部件等引起的机械风险。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除非振动是器械特定性能的一部分，否则医疗器械的设计和生产应当将产品振动导致的风险降到最低，应尽量采用限制振动（特别是振动源）的方法。</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除非噪声是器械特定性能的一部分，否则医疗器械设计和生产应将产品噪声导致的风险降到最低，应尽量采用限制噪声（特别是噪声源）的方法。</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如果医疗器械的部件在使用前或使用中需要进行连接或重新连接，其设计和生产应当降低这些部件间的连接故障风险。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A6.5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医疗器械的可接触部件（不包括用于供热或既定温度设置部位）及其周围环境，在正常使用时不应存在过热风险。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480"/>
              <w:jc w:val="left"/>
              <w:rPr>
                <w:color w:val="auto"/>
                <w:kern w:val="0"/>
                <w:sz w:val="24"/>
                <w:szCs w:val="24"/>
                <w:highlight w:val="none"/>
              </w:rPr>
            </w:pPr>
            <w:r>
              <w:rPr>
                <w:color w:val="auto"/>
                <w:kern w:val="0"/>
                <w:sz w:val="24"/>
                <w:szCs w:val="24"/>
                <w:highlight w:val="none"/>
              </w:rPr>
              <w:t>有源医疗器械及与其连接的医疗器械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当有源医疗器械发生单一故障时，应当采取适当的措施消除或降低因此而产生的风险。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患者的安全依赖于内部电源供电的医疗器械，应当具有检测供电状态的功能，并在电源容量不足时提供适当的提示或警告。</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患者的安全取决于外部电源供电状态的医疗器械，应当包括可显示任何电源故障的报警系统。</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用于监视患者一个或多个临床指标的医疗器械，必须配备适当报警系统，在患者健康状况恶化或危及生命时，向使用者发出警报。</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不</w:t>
            </w: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鉴于电磁干扰可能会损害正常运行的装置或设备，医疗器械的设计和生产应降低产生电磁干扰的风险。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A7.6</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医疗器械的设计和生产，应确保产品具有足够的抗电磁干扰能力，以确保产品的正常运行。</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A7.7</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当产品按申请人的说明进行安装和维护，在正常状态和单一故障状态时，医疗器械的设计和生产应减少使用者和他人免于遭受意外电击的风险。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480"/>
              <w:jc w:val="left"/>
              <w:rPr>
                <w:color w:val="auto"/>
                <w:kern w:val="0"/>
                <w:sz w:val="24"/>
                <w:szCs w:val="24"/>
                <w:highlight w:val="none"/>
              </w:rPr>
            </w:pPr>
            <w:r>
              <w:rPr>
                <w:color w:val="auto"/>
                <w:kern w:val="0"/>
                <w:sz w:val="24"/>
                <w:szCs w:val="24"/>
                <w:highlight w:val="none"/>
              </w:rPr>
              <w:t>含有软件的医疗器械以及独立软件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含有电子可编程系统（内含软件组件）的医疗器械或独立软件的设计，应确保准确度、可靠性、精确度、安全和性能符合其预期用途。应采取适当措施，消除或减少单一故障导致的风险或性能降低。</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含有软件组件的医疗器械或独立软件，应根据先进技术进行开发、生产和维护，同时应当考虑开发生存周期（如快速迭代开发、频繁更新、更新的累积效应）、风险管理（如系统、环境和数据的变化）等原则，包括信息安全（如安全地进行更新）、验证和确认（如更新管理过程）的要求。</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预期与移动计算平台整合使用的软件，其设计和开发，应当考虑平台本身（如屏幕尺寸和对比度、联通性、内存等）以及与其使用相关的外部因素（不同环境下的照明或噪声水平）。</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申请人应规定软件按照预期正常运行所必须的最低要求，如硬件、IT网络特性和IT网络安全措施，包括未经授权的访问。</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A8.5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医疗器械的设计、生产和维护应能提供足够的网络安全水平，以防止未经授权的访问。</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A9</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color w:val="auto"/>
                <w:kern w:val="0"/>
                <w:sz w:val="24"/>
                <w:szCs w:val="24"/>
                <w:highlight w:val="none"/>
              </w:rPr>
              <w:t>具有诊断或测量功能的医疗器械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A9.1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具有诊断或测量（包括监测）功能的医疗器械的设计和生产，应当基于适当的科技方法，除其他性能外，还应确保相应的准确度、精密度和稳定性，以实现其预期目的。</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申请人应规定准确度限值（如适用）。</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为便于使用者理解和接受，数字化测量值应以标准化单位表示（如可能），推荐使用国际通用的标准计量单位，考虑到安全、使用者的熟悉程度和既往的临床实践，也可使用其他公认的计量单位。</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c)</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医疗器械导示器和控制器的功能应有详细的说明，若器械通过可视化系统提供与操作、操作指示或调整参数有关的说明，该类信息应能够被使用者和患者（适用时）理解。</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A10</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说明书和标签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A10.1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应附有识别该器械及其申请人所需的信息。每个医疗器械还应附有相关安全和性能信息或相关指示。这些信息可出现在器械本身、包装上或使用说明书中，或者可以通过电子手段（如网站）便捷访问，易于被预期使用者理解。</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辐射防护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医疗器械的设计、生产和包装应当考虑尽量减少使用者、他人和患者（如适用）的辐射吸收剂量，同时不影响其诊断或治疗功能。</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具有辐射或潜在辐射危害的医疗器械，其操作说明应详细说明辐射的性质，对使用者、他人或患者（若适用）的防护措施，避免误用的方法，降低运输、贮存和安装的风险。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若医疗器械有辐射或有潜在辐射危害，应当具备辐射泄漏声光报警功能（如可行）。</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A11.4</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医疗器械的设计和生产应降低使用者、其他人员或患者（若适用）暴露于非预期、偏离或散射辐射的风险。在可能和适当的情况下，应采取措施减少使用者、其他人员或患者（若适用）等可能受影响的人在辐射中的暴露。</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A11.5</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具有辐射或潜在辐射危害且需要安装的医疗器械，应当在操作说明中明确有关验收和性能测试、验收标准及维护程序的信息。</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A11.6</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若医疗器械对使用者有辐射或潜在辐射危害，其设计和生产应确保辐射剂量、几何分布、能量分布（或质量）以及其他辐射关键特性能够得到合理的控制和调整，并可在使用过程中进行监控（如适用）。上述医疗器械的设计和生产，应确保相关可变参数的重复性在可接受范围内。</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A12</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color w:val="auto"/>
                <w:kern w:val="0"/>
                <w:sz w:val="24"/>
                <w:szCs w:val="24"/>
                <w:highlight w:val="none"/>
              </w:rPr>
            </w:pPr>
            <w:r>
              <w:rPr>
                <w:color w:val="auto"/>
                <w:kern w:val="0"/>
                <w:sz w:val="24"/>
                <w:szCs w:val="24"/>
                <w:highlight w:val="none"/>
              </w:rPr>
              <w:t>对非专业用户使用风险的防护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A12.1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对于非专业用户使用的医疗器械（如自测或近患者检测），为保证医疗器械的正常使用，其设计和生产应当考虑非专业用户的操作技能，以及因非专业用户技术和使用环境的不同对结果的影响。申请人提供的信息和说明应易于理解和使用，并可对结果做出解释。</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不</w:t>
            </w:r>
            <w:r>
              <w:rPr>
                <w:rFonts w:ascii="Times New Roman" w:hAnsi="Times New Roman" w:eastAsia="仿宋_GB2312"/>
                <w:bCs w:val="0"/>
                <w:color w:val="auto"/>
                <w:sz w:val="24"/>
                <w:szCs w:val="24"/>
                <w:highlight w:val="none"/>
              </w:rPr>
              <w:t>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A12.2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供非专业用户使用的医疗器械（如自测或近患者检测）的设计和生产应当：</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确保使用者可以按照使用说明书的规定安全准确的使用。当无法将与说明书相关的风险降低到适当水平时，可以通过培训来降低此类风险；</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尽可能减少非专业用户因错误操作和错误解释结果导致的风险。</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hint="eastAsia"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A12.3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供非专业用户使用的医疗器械可通过以下措施方便用户：</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在使用时，可以验证器械的正常运行；</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当器械不能正常运行或提供无效结果时，会发出警告。</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hint="eastAsia" w:ascii="Times New Roman" w:hAnsi="Times New Roman" w:eastAsia="仿宋_GB2312"/>
                <w:bCs w:val="0"/>
                <w:color w:val="auto"/>
                <w:sz w:val="24"/>
                <w:szCs w:val="24"/>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A13</w:t>
            </w:r>
          </w:p>
        </w:tc>
        <w:tc>
          <w:tcPr>
            <w:tcW w:w="7796" w:type="dxa"/>
            <w:gridSpan w:val="2"/>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含有生物源材料的医疗器械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A13.1</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对于含有动植物组织、细胞或其它物质，细菌来源物质或衍生物的医疗器械，若无活性或以非活性状态交付，应当：</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组织、细胞及其衍生物应来源于已受控且符合预期用途的动物种属。动物的地理来源信息应根据相关法规要求予以保留。</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动物源的组织、细胞、物质或其衍生物的采集、加工、保存、检测和处理过程，应确保患者、使用者以及其他人员（如适用）的安全。特别是病毒和其他传染性病原体，应通过经验证的先进技术消除或灭活，影响医疗器械性能的情况除外。</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A13.2</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对于监管部门而言，当医疗器械由人体来源的组织、细胞、物质或其衍生物生产时，应当采取以下措施：</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a)</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组织、细胞的捐赠、获取和检测应依据相关法规的要求进行；</w:t>
            </w:r>
          </w:p>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b)</w:t>
            </w:r>
            <w:r>
              <w:rPr>
                <w:rFonts w:ascii="Times New Roman" w:hAnsi="Times New Roman" w:eastAsia="仿宋_GB2312"/>
                <w:bCs w:val="0"/>
                <w:color w:val="auto"/>
                <w:sz w:val="24"/>
                <w:szCs w:val="24"/>
                <w:highlight w:val="none"/>
              </w:rPr>
              <w:tab/>
            </w:r>
            <w:r>
              <w:rPr>
                <w:rFonts w:ascii="Times New Roman" w:hAnsi="Times New Roman" w:eastAsia="仿宋_GB2312"/>
                <w:bCs w:val="0"/>
                <w:color w:val="auto"/>
                <w:sz w:val="24"/>
                <w:szCs w:val="24"/>
                <w:highlight w:val="none"/>
              </w:rPr>
              <w:t>为确保患者、使用者或他人的安全，应对组织、细胞或其衍生物进行加工、保存或其他处理。对于病毒和其他传染源，应通过源头控制，或在生产过程中通过经验证的先进技术消除或灭活。</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黑体"/>
                <w:color w:val="auto"/>
                <w:sz w:val="24"/>
                <w:szCs w:val="24"/>
                <w:highlight w:val="none"/>
              </w:rPr>
            </w:pPr>
            <w:r>
              <w:rPr>
                <w:rFonts w:ascii="Times New Roman" w:hAnsi="黑体"/>
                <w:color w:val="auto"/>
                <w:sz w:val="24"/>
                <w:szCs w:val="24"/>
                <w:highlight w:val="none"/>
              </w:rPr>
              <w:t>A13.3</w:t>
            </w:r>
          </w:p>
        </w:tc>
        <w:tc>
          <w:tcPr>
            <w:tcW w:w="6662" w:type="dxa"/>
            <w:tcBorders>
              <w:top w:val="single" w:color="auto" w:sz="4" w:space="0"/>
              <w:left w:val="single" w:color="auto" w:sz="4" w:space="0"/>
              <w:bottom w:val="single" w:color="auto" w:sz="4" w:space="0"/>
              <w:right w:val="single" w:color="auto" w:sz="4" w:space="0"/>
            </w:tcBorders>
            <w:vAlign w:val="center"/>
          </w:tcPr>
          <w:p>
            <w:pPr>
              <w:pStyle w:val="46"/>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当医疗器械使用A13.1、A13.2以外的生物物质（例如植物或细菌来源的材料）生产时，其加工、保存、检测和处理应确保患者、用户以及其他人员（如废弃物处置人员等）的安全。对于病毒和其他传染源，为确保安全，应通过源头控制，或在生产过程中通过经验证的先进技术消除或灭活。</w:t>
            </w:r>
          </w:p>
        </w:tc>
        <w:tc>
          <w:tcPr>
            <w:tcW w:w="1134"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Times New Roman" w:hAnsi="Times New Roman" w:eastAsia="仿宋_GB2312"/>
                <w:bCs w:val="0"/>
                <w:color w:val="auto"/>
                <w:sz w:val="24"/>
                <w:szCs w:val="24"/>
                <w:highlight w:val="none"/>
              </w:rPr>
            </w:pPr>
            <w:r>
              <w:rPr>
                <w:rFonts w:ascii="Times New Roman" w:hAnsi="Times New Roman" w:eastAsia="仿宋_GB2312"/>
                <w:bCs w:val="0"/>
                <w:color w:val="auto"/>
                <w:sz w:val="24"/>
                <w:szCs w:val="24"/>
                <w:highlight w:val="none"/>
              </w:rPr>
              <w:t>不适用</w:t>
            </w:r>
          </w:p>
        </w:tc>
      </w:tr>
    </w:tbl>
    <w:p>
      <w:pPr>
        <w:spacing w:line="520" w:lineRule="exact"/>
        <w:ind w:firstLine="0" w:firstLineChars="0"/>
        <w:outlineLvl w:val="0"/>
        <w:rPr>
          <w:rFonts w:ascii="黑体" w:hAnsi="黑体" w:eastAsia="黑体"/>
          <w:color w:val="auto"/>
          <w:szCs w:val="32"/>
          <w:highlight w:val="none"/>
        </w:rPr>
        <w:sectPr>
          <w:headerReference r:id="rId5" w:type="default"/>
          <w:footerReference r:id="rId7" w:type="default"/>
          <w:headerReference r:id="rId6" w:type="even"/>
          <w:footerReference r:id="rId8" w:type="even"/>
          <w:pgSz w:w="11906" w:h="16838"/>
          <w:pgMar w:top="2098" w:right="1588" w:bottom="2098" w:left="1588" w:header="851" w:footer="195" w:gutter="0"/>
          <w:cols w:space="720" w:num="1"/>
          <w:docGrid w:type="lines" w:linePitch="435" w:charSpace="0"/>
        </w:sectPr>
      </w:pPr>
    </w:p>
    <w:p>
      <w:pPr>
        <w:spacing w:line="520" w:lineRule="exact"/>
        <w:ind w:firstLine="0" w:firstLineChars="0"/>
        <w:outlineLvl w:val="0"/>
        <w:rPr>
          <w:rFonts w:hint="eastAsia" w:ascii="黑体" w:hAnsi="黑体" w:eastAsia="黑体"/>
          <w:color w:val="auto"/>
          <w:szCs w:val="32"/>
          <w:highlight w:val="none"/>
          <w:lang w:val="en-US" w:eastAsia="zh-CN"/>
        </w:rPr>
      </w:pPr>
      <w:r>
        <w:rPr>
          <w:rFonts w:ascii="黑体" w:hAnsi="黑体" w:eastAsia="黑体"/>
          <w:color w:val="auto"/>
          <w:szCs w:val="32"/>
          <w:highlight w:val="none"/>
        </w:rPr>
        <w:t>附件</w:t>
      </w:r>
      <w:r>
        <w:rPr>
          <w:rFonts w:hint="eastAsia" w:ascii="黑体" w:hAnsi="黑体" w:eastAsia="黑体"/>
          <w:color w:val="auto"/>
          <w:szCs w:val="32"/>
          <w:highlight w:val="none"/>
          <w:lang w:val="en-US" w:eastAsia="zh-CN"/>
        </w:rPr>
        <w:t>3</w:t>
      </w:r>
    </w:p>
    <w:p>
      <w:pPr>
        <w:spacing w:line="520" w:lineRule="exact"/>
        <w:ind w:firstLine="0" w:firstLineChars="0"/>
        <w:jc w:val="center"/>
        <w:rPr>
          <w:rFonts w:eastAsia="方正小标宋简体"/>
          <w:color w:val="auto"/>
          <w:sz w:val="44"/>
          <w:szCs w:val="44"/>
          <w:highlight w:val="none"/>
        </w:rPr>
      </w:pPr>
      <w:r>
        <w:rPr>
          <w:rFonts w:eastAsia="方正小标宋简体"/>
          <w:color w:val="auto"/>
          <w:sz w:val="44"/>
          <w:szCs w:val="44"/>
          <w:highlight w:val="none"/>
        </w:rPr>
        <w:t>参考标准列表</w:t>
      </w:r>
    </w:p>
    <w:p>
      <w:pPr>
        <w:spacing w:line="520" w:lineRule="exact"/>
        <w:ind w:firstLine="880"/>
        <w:jc w:val="center"/>
        <w:rPr>
          <w:rFonts w:eastAsia="方正小标宋简体"/>
          <w:color w:val="auto"/>
          <w:sz w:val="44"/>
          <w:szCs w:val="44"/>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4951"/>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55" w:type="dxa"/>
            <w:vAlign w:val="center"/>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b/>
                <w:color w:val="auto"/>
                <w:sz w:val="28"/>
                <w:szCs w:val="28"/>
                <w:highlight w:val="none"/>
              </w:rPr>
            </w:pPr>
            <w:r>
              <w:rPr>
                <w:rStyle w:val="33"/>
                <w:rFonts w:hint="eastAsia" w:ascii="方正仿宋_GBK" w:hAnsi="方正仿宋_GBK" w:eastAsia="方正仿宋_GBK" w:cs="方正仿宋_GBK"/>
                <w:b/>
                <w:color w:val="auto"/>
                <w:sz w:val="28"/>
                <w:szCs w:val="28"/>
                <w:highlight w:val="none"/>
              </w:rPr>
              <w:t>标准号</w:t>
            </w:r>
          </w:p>
        </w:tc>
        <w:tc>
          <w:tcPr>
            <w:tcW w:w="4951" w:type="dxa"/>
            <w:vAlign w:val="center"/>
          </w:tcPr>
          <w:p>
            <w:pPr>
              <w:spacing w:line="400" w:lineRule="exact"/>
              <w:ind w:firstLine="0" w:firstLineChars="0"/>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标准名</w:t>
            </w:r>
          </w:p>
        </w:tc>
        <w:tc>
          <w:tcPr>
            <w:tcW w:w="2140" w:type="dxa"/>
            <w:vAlign w:val="center"/>
          </w:tcPr>
          <w:p>
            <w:pPr>
              <w:spacing w:line="400" w:lineRule="exact"/>
              <w:ind w:firstLine="0" w:firstLineChars="0"/>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适用性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widowControl/>
              <w:kinsoku/>
              <w:wordWrap/>
              <w:overflowPunct/>
              <w:topLinePunct w:val="0"/>
              <w:autoSpaceDE w:val="0"/>
              <w:autoSpaceDN w:val="0"/>
              <w:bidi w:val="0"/>
              <w:adjustRightInd w:val="0"/>
              <w:snapToGrid/>
              <w:spacing w:line="460" w:lineRule="exact"/>
              <w:ind w:firstLine="0" w:firstLineChars="0"/>
              <w:jc w:val="center"/>
              <w:textAlignment w:val="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GB</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7247.1</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《激光产品的安全 第1部分设备分类、要求》</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含有激光的产品适用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pPr>
              <w:keepNext w:val="0"/>
              <w:keepLines w:val="0"/>
              <w:pageBreakBefore w:val="0"/>
              <w:kinsoku/>
              <w:wordWrap/>
              <w:overflowPunct/>
              <w:topLinePunct w:val="0"/>
              <w:bidi w:val="0"/>
              <w:snapToGrid/>
              <w:spacing w:line="400" w:lineRule="exact"/>
              <w:ind w:firstLine="0" w:firstLineChars="0"/>
              <w:jc w:val="center"/>
              <w:textAlignment w:val="auto"/>
              <w:rPr>
                <w:rFonts w:hint="eastAsia" w:ascii="方正仿宋_GBK" w:hAnsi="方正仿宋_GBK" w:eastAsia="方正仿宋_GBK" w:cs="方正仿宋_GBK"/>
                <w:color w:val="auto"/>
                <w:kern w:val="2"/>
                <w:sz w:val="28"/>
                <w:szCs w:val="28"/>
                <w:highlight w:val="none"/>
                <w:lang w:val="en-US" w:eastAsia="zh-CN" w:bidi="ar-SA"/>
              </w:rPr>
            </w:pPr>
            <w:r>
              <w:rPr>
                <w:rStyle w:val="33"/>
                <w:rFonts w:hint="eastAsia" w:ascii="方正仿宋_GBK" w:hAnsi="方正仿宋_GBK" w:eastAsia="方正仿宋_GBK" w:cs="方正仿宋_GBK"/>
                <w:color w:val="auto"/>
                <w:sz w:val="28"/>
                <w:szCs w:val="28"/>
                <w:highlight w:val="none"/>
              </w:rPr>
              <w:t>GB 9706.1</w:t>
            </w:r>
          </w:p>
        </w:tc>
        <w:tc>
          <w:tcPr>
            <w:tcW w:w="4951" w:type="dxa"/>
            <w:vAlign w:val="center"/>
          </w:tcPr>
          <w:p>
            <w:pPr>
              <w:tabs>
                <w:tab w:val="left" w:pos="2628"/>
              </w:tabs>
              <w:spacing w:line="400" w:lineRule="exact"/>
              <w:ind w:firstLine="0" w:firstLineChars="0"/>
              <w:rPr>
                <w:rFonts w:hint="eastAsia" w:ascii="方正仿宋_GBK" w:hAnsi="方正仿宋_GBK" w:eastAsia="方正仿宋_GBK" w:cs="方正仿宋_GBK"/>
                <w:color w:val="auto"/>
                <w:kern w:val="2"/>
                <w:sz w:val="28"/>
                <w:szCs w:val="28"/>
                <w:highlight w:val="none"/>
                <w:lang w:val="en-US" w:eastAsia="zh-CN" w:bidi="ar-SA"/>
              </w:rPr>
            </w:pPr>
            <w:r>
              <w:rPr>
                <w:rStyle w:val="33"/>
                <w:rFonts w:hint="eastAsia" w:ascii="方正仿宋_GBK" w:hAnsi="方正仿宋_GBK" w:eastAsia="方正仿宋_GBK" w:cs="方正仿宋_GBK"/>
                <w:color w:val="auto"/>
                <w:sz w:val="28"/>
                <w:szCs w:val="28"/>
                <w:highlight w:val="none"/>
              </w:rPr>
              <w:t>《医用电气设备 第1部分：基本安全和基本性能的通用要求》</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全部产品适用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GB 9706.218</w:t>
            </w:r>
          </w:p>
        </w:tc>
        <w:tc>
          <w:tcPr>
            <w:tcW w:w="4951" w:type="dxa"/>
            <w:vAlign w:val="center"/>
          </w:tcPr>
          <w:p>
            <w:pPr>
              <w:tabs>
                <w:tab w:val="left" w:pos="2628"/>
              </w:tabs>
              <w:spacing w:line="400" w:lineRule="exact"/>
              <w:ind w:firstLine="0" w:firstLineChars="0"/>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《医用电气设备 第2-18部分：内窥镜设备的基本安全和基本性能专用要求》</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全部产品适用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widowControl/>
              <w:kinsoku/>
              <w:wordWrap/>
              <w:overflowPunct/>
              <w:topLinePunct w:val="0"/>
              <w:autoSpaceDE w:val="0"/>
              <w:autoSpaceDN w:val="0"/>
              <w:bidi w:val="0"/>
              <w:adjustRightInd w:val="0"/>
              <w:snapToGrid/>
              <w:spacing w:line="460" w:lineRule="exact"/>
              <w:ind w:firstLine="0" w:firstLineChars="0"/>
              <w:jc w:val="center"/>
              <w:textAlignment w:val="auto"/>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GB/T 14710</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《医用电气设备环境要求及试验方法》</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所有产品适用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widowControl/>
              <w:kinsoku/>
              <w:wordWrap/>
              <w:overflowPunct/>
              <w:topLinePunct w:val="0"/>
              <w:autoSpaceDE w:val="0"/>
              <w:autoSpaceDN w:val="0"/>
              <w:bidi w:val="0"/>
              <w:adjustRightInd w:val="0"/>
              <w:snapToGrid/>
              <w:spacing w:line="460" w:lineRule="exact"/>
              <w:ind w:firstLine="0" w:firstLineChars="0"/>
              <w:jc w:val="center"/>
              <w:textAlignment w:val="auto"/>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GB/T 20145</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 xml:space="preserve"> 《灯和灯系统的光生物安全性》</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所有产品适用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pPr>
              <w:keepNext w:val="0"/>
              <w:keepLines w:val="0"/>
              <w:pageBreakBefore w:val="0"/>
              <w:widowControl/>
              <w:kinsoku/>
              <w:wordWrap/>
              <w:overflowPunct/>
              <w:topLinePunct w:val="0"/>
              <w:autoSpaceDE w:val="0"/>
              <w:autoSpaceDN w:val="0"/>
              <w:bidi w:val="0"/>
              <w:adjustRightInd w:val="0"/>
              <w:snapToGrid/>
              <w:spacing w:line="460" w:lineRule="exact"/>
              <w:ind w:firstLine="0" w:firstLineChars="0"/>
              <w:jc w:val="center"/>
              <w:textAlignment w:val="auto"/>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YY/T 0466.1</w:t>
            </w:r>
          </w:p>
        </w:tc>
        <w:tc>
          <w:tcPr>
            <w:tcW w:w="4951" w:type="dxa"/>
            <w:vAlign w:val="center"/>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《医疗器械 用于医疗器械标签、标记和提供信息的符号 第1部分：通用要求》</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所有产品适用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color w:val="auto"/>
                <w:sz w:val="28"/>
                <w:szCs w:val="28"/>
                <w:highlight w:val="none"/>
                <w:lang w:val="en-US" w:eastAsia="zh-CN"/>
              </w:rPr>
            </w:pPr>
            <w:r>
              <w:rPr>
                <w:rStyle w:val="33"/>
                <w:rFonts w:hint="eastAsia" w:ascii="方正仿宋_GBK" w:hAnsi="方正仿宋_GBK" w:eastAsia="方正仿宋_GBK" w:cs="方正仿宋_GBK"/>
                <w:color w:val="auto"/>
                <w:sz w:val="28"/>
                <w:szCs w:val="28"/>
                <w:highlight w:val="none"/>
              </w:rPr>
              <w:t>YY 0763</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《医用内窥镜 照明用光缆》</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所有产品适用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color w:val="auto"/>
                <w:sz w:val="28"/>
                <w:szCs w:val="28"/>
                <w:highlight w:val="none"/>
                <w:lang w:val="en-US" w:eastAsia="zh-CN"/>
              </w:rPr>
            </w:pPr>
            <w:r>
              <w:rPr>
                <w:rStyle w:val="33"/>
                <w:rFonts w:hint="eastAsia" w:ascii="方正仿宋_GBK" w:hAnsi="方正仿宋_GBK" w:eastAsia="方正仿宋_GBK" w:cs="方正仿宋_GBK"/>
                <w:color w:val="auto"/>
                <w:sz w:val="28"/>
                <w:szCs w:val="28"/>
                <w:highlight w:val="none"/>
              </w:rPr>
              <w:t>YY 1081</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《医用内窥镜 内窥镜功能供给装置  冷光源》</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所有产品适用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top"/>
          </w:tcPr>
          <w:p>
            <w:pPr>
              <w:keepNext w:val="0"/>
              <w:keepLines w:val="0"/>
              <w:pageBreakBefore w:val="0"/>
              <w:widowControl/>
              <w:kinsoku/>
              <w:wordWrap/>
              <w:overflowPunct/>
              <w:topLinePunct w:val="0"/>
              <w:autoSpaceDE w:val="0"/>
              <w:autoSpaceDN w:val="0"/>
              <w:bidi w:val="0"/>
              <w:adjustRightInd w:val="0"/>
              <w:snapToGrid/>
              <w:spacing w:line="460" w:lineRule="exact"/>
              <w:ind w:firstLine="0" w:firstLineChars="0"/>
              <w:jc w:val="center"/>
              <w:textAlignment w:val="auto"/>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YY/T 1534</w:t>
            </w:r>
          </w:p>
        </w:tc>
        <w:tc>
          <w:tcPr>
            <w:tcW w:w="4951" w:type="dxa"/>
            <w:vAlign w:val="top"/>
          </w:tcPr>
          <w:p>
            <w:pPr>
              <w:tabs>
                <w:tab w:val="left" w:pos="2628"/>
              </w:tabs>
              <w:spacing w:line="400" w:lineRule="exact"/>
              <w:ind w:firstLine="0" w:firstLineChars="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医用LED设备的光辐射安全分类的检测方法</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含有LED光源的设备适用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YY 9706.102</w:t>
            </w:r>
          </w:p>
        </w:tc>
        <w:tc>
          <w:tcPr>
            <w:tcW w:w="4951" w:type="dxa"/>
            <w:vAlign w:val="center"/>
          </w:tcPr>
          <w:p>
            <w:pPr>
              <w:tabs>
                <w:tab w:val="left" w:pos="2628"/>
              </w:tabs>
              <w:spacing w:line="400" w:lineRule="exact"/>
              <w:ind w:firstLine="0" w:firstLineChars="0"/>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《医用电气设备 第1-2部分：基本安全和基本性能的通用要求 并列标准：电磁兼容 要求和试验》</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sz w:val="28"/>
                <w:szCs w:val="28"/>
                <w:highlight w:val="none"/>
              </w:rPr>
              <w:t>全部产品适用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pPr>
              <w:keepNext w:val="0"/>
              <w:keepLines w:val="0"/>
              <w:pageBreakBefore w:val="0"/>
              <w:kinsoku/>
              <w:wordWrap/>
              <w:overflowPunct/>
              <w:topLinePunct w:val="0"/>
              <w:bidi w:val="0"/>
              <w:snapToGrid/>
              <w:spacing w:line="400" w:lineRule="exact"/>
              <w:ind w:firstLine="0" w:firstLineChars="0"/>
              <w:jc w:val="center"/>
              <w:textAlignment w:val="auto"/>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YY9706.257</w:t>
            </w:r>
          </w:p>
        </w:tc>
        <w:tc>
          <w:tcPr>
            <w:tcW w:w="4951" w:type="dxa"/>
            <w:vAlign w:val="center"/>
          </w:tcPr>
          <w:p>
            <w:pPr>
              <w:tabs>
                <w:tab w:val="left" w:pos="2628"/>
              </w:tabs>
              <w:spacing w:line="400" w:lineRule="exact"/>
              <w:ind w:firstLine="0" w:firstLineChars="0"/>
              <w:rPr>
                <w:rStyle w:val="33"/>
                <w:rFonts w:hint="eastAsia" w:ascii="方正仿宋_GBK" w:hAnsi="方正仿宋_GBK" w:eastAsia="方正仿宋_GBK" w:cs="方正仿宋_GBK"/>
                <w:color w:val="auto"/>
                <w:sz w:val="28"/>
                <w:szCs w:val="28"/>
                <w:highlight w:val="none"/>
              </w:rPr>
            </w:pPr>
            <w:r>
              <w:rPr>
                <w:rStyle w:val="33"/>
                <w:rFonts w:hint="eastAsia" w:ascii="方正仿宋_GBK" w:hAnsi="方正仿宋_GBK" w:eastAsia="方正仿宋_GBK" w:cs="方正仿宋_GBK"/>
                <w:color w:val="auto"/>
                <w:sz w:val="28"/>
                <w:szCs w:val="28"/>
                <w:highlight w:val="none"/>
              </w:rPr>
              <w:t>《医用电气设备 第2-57部分：治疗、诊断、监测和整形/医疗美容使用的非激光光源设备的基本安全和基本性能的专用要求》</w:t>
            </w:r>
          </w:p>
        </w:tc>
        <w:tc>
          <w:tcPr>
            <w:tcW w:w="2140" w:type="dxa"/>
            <w:vAlign w:val="center"/>
          </w:tcPr>
          <w:p>
            <w:pPr>
              <w:tabs>
                <w:tab w:val="left" w:pos="2628"/>
              </w:tabs>
              <w:spacing w:line="400" w:lineRule="exact"/>
              <w:ind w:firstLine="0" w:firstLineChars="0"/>
              <w:jc w:val="cente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全部产品适用</w:t>
            </w:r>
          </w:p>
        </w:tc>
      </w:tr>
    </w:tbl>
    <w:p>
      <w:pPr>
        <w:widowControl/>
        <w:spacing w:line="520" w:lineRule="exact"/>
        <w:ind w:left="0" w:leftChars="0" w:firstLine="0" w:firstLineChars="0"/>
        <w:jc w:val="left"/>
        <w:outlineLvl w:val="0"/>
        <w:rPr>
          <w:rFonts w:hint="eastAsia" w:ascii="Times New Roman" w:hAnsi="黑体" w:eastAsia="黑体" w:cs="Times New Roman"/>
          <w:color w:val="auto"/>
          <w:sz w:val="10"/>
          <w:szCs w:val="10"/>
          <w:highlight w:val="none"/>
        </w:rPr>
      </w:pPr>
    </w:p>
    <w:sectPr>
      <w:headerReference r:id="rId9" w:type="default"/>
      <w:footerReference r:id="rId11" w:type="default"/>
      <w:headerReference r:id="rId10" w:type="even"/>
      <w:footerReference r:id="rId12" w:type="even"/>
      <w:pgSz w:w="11906" w:h="16838"/>
      <w:pgMar w:top="2098" w:right="1588" w:bottom="2098" w:left="1588" w:header="851" w:footer="195"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Copperplate Gothic Light">
    <w:panose1 w:val="020E0507020206020404"/>
    <w:charset w:val="00"/>
    <w:family w:val="auto"/>
    <w:pitch w:val="default"/>
    <w:sig w:usb0="00000003" w:usb1="00000000" w:usb2="00000000" w:usb3="00000000" w:csb0="2000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560"/>
      <w:jc w:val="right"/>
    </w:pPr>
    <w:r>
      <w:rPr>
        <w:rStyle w:val="22"/>
        <w:sz w:val="28"/>
        <w:szCs w:val="28"/>
      </w:rPr>
      <w:t xml:space="preserve">— </w:t>
    </w:r>
    <w:sdt>
      <w:sdtPr>
        <w:id w:val="-91560520"/>
      </w:sdt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29</w:t>
        </w:r>
        <w:r>
          <w:rPr>
            <w:sz w:val="28"/>
            <w:szCs w:val="28"/>
          </w:rPr>
          <w:fldChar w:fldCharType="end"/>
        </w:r>
        <w:r>
          <w:t xml:space="preserve"> </w:t>
        </w:r>
        <w:r>
          <w:rPr>
            <w:rStyle w:val="22"/>
            <w:sz w:val="28"/>
            <w:szCs w:val="28"/>
          </w:rPr>
          <w:t>—</w:t>
        </w:r>
      </w:sdtContent>
    </w:sdt>
  </w:p>
  <w:p>
    <w:pPr>
      <w:ind w:firstLine="6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numPr>
        <w:ilvl w:val="0"/>
        <w:numId w:val="2"/>
      </w:numPr>
      <w:tabs>
        <w:tab w:val="left" w:pos="284"/>
      </w:tabs>
      <w:ind w:left="709" w:hanging="720" w:firstLineChars="0"/>
    </w:pPr>
    <w:sdt>
      <w:sdtPr>
        <w:id w:val="-257134119"/>
      </w:sdtPr>
      <w:sdtEndPr>
        <w:rPr>
          <w:sz w:val="28"/>
          <w:szCs w:val="28"/>
        </w:rPr>
      </w:sdtEndPr>
      <w:sdtContent>
        <w: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30</w:t>
        </w:r>
        <w:r>
          <w:rPr>
            <w:sz w:val="28"/>
            <w:szCs w:val="28"/>
          </w:rPr>
          <w:fldChar w:fldCharType="end"/>
        </w:r>
        <w:r>
          <w:rPr>
            <w:sz w:val="28"/>
            <w:szCs w:val="28"/>
          </w:rPr>
          <w:t xml:space="preserve"> —</w:t>
        </w:r>
      </w:sdtContent>
    </w:sdt>
  </w:p>
  <w:p>
    <w:pPr>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560"/>
      <w:jc w:val="right"/>
    </w:pPr>
    <w:r>
      <w:rPr>
        <w:rStyle w:val="22"/>
        <w:sz w:val="28"/>
        <w:szCs w:val="28"/>
      </w:rPr>
      <w:t xml:space="preserve">— </w:t>
    </w:r>
    <w:sdt>
      <w:sdtPr>
        <w:id w:val="-91560520"/>
      </w:sdt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29</w:t>
        </w:r>
        <w:r>
          <w:rPr>
            <w:sz w:val="28"/>
            <w:szCs w:val="28"/>
          </w:rPr>
          <w:fldChar w:fldCharType="end"/>
        </w:r>
        <w:r>
          <w:t xml:space="preserve"> </w:t>
        </w:r>
        <w:r>
          <w:rPr>
            <w:rStyle w:val="22"/>
            <w:sz w:val="28"/>
            <w:szCs w:val="28"/>
          </w:rPr>
          <w:t>—</w:t>
        </w:r>
      </w:sdtContent>
    </w:sdt>
  </w:p>
  <w:p>
    <w:pPr>
      <w:ind w:firstLine="6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numPr>
        <w:ilvl w:val="0"/>
        <w:numId w:val="2"/>
      </w:numPr>
      <w:tabs>
        <w:tab w:val="left" w:pos="284"/>
      </w:tabs>
      <w:ind w:left="709" w:hanging="720" w:firstLineChars="0"/>
    </w:pPr>
    <w:sdt>
      <w:sdtPr>
        <w:id w:val="-257134119"/>
      </w:sdtPr>
      <w:sdtEndPr>
        <w:rPr>
          <w:sz w:val="28"/>
          <w:szCs w:val="28"/>
        </w:rPr>
      </w:sdtEndPr>
      <w:sdtContent>
        <w: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30</w:t>
        </w:r>
        <w:r>
          <w:rPr>
            <w:sz w:val="28"/>
            <w:szCs w:val="28"/>
          </w:rPr>
          <w:fldChar w:fldCharType="end"/>
        </w:r>
        <w:r>
          <w:rPr>
            <w:sz w:val="28"/>
            <w:szCs w:val="28"/>
          </w:rPr>
          <w:t xml:space="preserve"> —</w:t>
        </w:r>
      </w:sdtContent>
    </w:sdt>
  </w:p>
  <w:p>
    <w:pPr>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F257D"/>
    <w:multiLevelType w:val="singleLevel"/>
    <w:tmpl w:val="BDCF257D"/>
    <w:lvl w:ilvl="0" w:tentative="0">
      <w:start w:val="21"/>
      <w:numFmt w:val="decimal"/>
      <w:suff w:val="nothing"/>
      <w:lvlText w:val="（%1）"/>
      <w:lvlJc w:val="left"/>
    </w:lvl>
  </w:abstractNum>
  <w:abstractNum w:abstractNumId="1">
    <w:nsid w:val="DB1C91F0"/>
    <w:multiLevelType w:val="singleLevel"/>
    <w:tmpl w:val="DB1C91F0"/>
    <w:lvl w:ilvl="0" w:tentative="0">
      <w:start w:val="3"/>
      <w:numFmt w:val="decimal"/>
      <w:suff w:val="nothing"/>
      <w:lvlText w:val="（%1）"/>
      <w:lvlJc w:val="left"/>
    </w:lvl>
  </w:abstractNum>
  <w:abstractNum w:abstractNumId="2">
    <w:nsid w:val="DEE535C2"/>
    <w:multiLevelType w:val="singleLevel"/>
    <w:tmpl w:val="DEE535C2"/>
    <w:lvl w:ilvl="0" w:tentative="0">
      <w:start w:val="2"/>
      <w:numFmt w:val="decimal"/>
      <w:suff w:val="nothing"/>
      <w:lvlText w:val="（%1）"/>
      <w:lvlJc w:val="left"/>
    </w:lvl>
  </w:abstractNum>
  <w:abstractNum w:abstractNumId="3">
    <w:nsid w:val="27C4BDF4"/>
    <w:multiLevelType w:val="singleLevel"/>
    <w:tmpl w:val="27C4BDF4"/>
    <w:lvl w:ilvl="0" w:tentative="0">
      <w:start w:val="1"/>
      <w:numFmt w:val="chineseCounting"/>
      <w:suff w:val="nothing"/>
      <w:lvlText w:val="（%1）"/>
      <w:lvlJc w:val="left"/>
      <w:rPr>
        <w:rFonts w:hint="eastAsia"/>
      </w:rPr>
    </w:lvl>
  </w:abstractNum>
  <w:abstractNum w:abstractNumId="4">
    <w:nsid w:val="30376CCE"/>
    <w:multiLevelType w:val="multilevel"/>
    <w:tmpl w:val="30376CCE"/>
    <w:lvl w:ilvl="0" w:tentative="0">
      <w:start w:val="2023"/>
      <w:numFmt w:val="bullet"/>
      <w:lvlText w:val="—"/>
      <w:lvlJc w:val="left"/>
      <w:pPr>
        <w:ind w:left="720" w:hanging="360"/>
      </w:pPr>
      <w:rPr>
        <w:rFonts w:hint="default" w:ascii="Times New Roman" w:hAnsi="Times New Roman" w:eastAsia="仿宋_GB2312" w:cs="Times New Roman"/>
        <w:sz w:val="28"/>
        <w:szCs w:val="28"/>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5">
    <w:nsid w:val="6CEA2025"/>
    <w:multiLevelType w:val="multilevel"/>
    <w:tmpl w:val="6CEA2025"/>
    <w:lvl w:ilvl="0" w:tentative="0">
      <w:start w:val="1"/>
      <w:numFmt w:val="none"/>
      <w:pStyle w:val="65"/>
      <w:suff w:val="nothing"/>
      <w:lvlText w:val="%1"/>
      <w:lvlJc w:val="left"/>
      <w:pPr>
        <w:ind w:left="0" w:firstLine="0"/>
      </w:pPr>
      <w:rPr>
        <w:rFonts w:hint="default" w:ascii="Times New Roman" w:hAnsi="Times New Roman"/>
        <w:b/>
        <w:i w:val="0"/>
        <w:sz w:val="21"/>
      </w:rPr>
    </w:lvl>
    <w:lvl w:ilvl="1" w:tentative="0">
      <w:start w:val="1"/>
      <w:numFmt w:val="decimal"/>
      <w:pStyle w:val="66"/>
      <w:suff w:val="nothing"/>
      <w:lvlText w:val="%1%2　"/>
      <w:lvlJc w:val="left"/>
      <w:pPr>
        <w:ind w:left="0" w:firstLine="0"/>
      </w:pPr>
      <w:rPr>
        <w:rFonts w:hint="eastAsia" w:ascii="黑体" w:hAnsi="Times New Roman" w:eastAsia="黑体"/>
        <w:b w:val="0"/>
        <w:i w:val="0"/>
        <w:sz w:val="21"/>
      </w:rPr>
    </w:lvl>
    <w:lvl w:ilvl="2" w:tentative="0">
      <w:start w:val="1"/>
      <w:numFmt w:val="decimal"/>
      <w:pStyle w:val="67"/>
      <w:suff w:val="nothing"/>
      <w:lvlText w:val="%14.3　"/>
      <w:lvlJc w:val="left"/>
      <w:pPr>
        <w:ind w:left="0" w:firstLine="0"/>
      </w:pPr>
      <w:rPr>
        <w:rFonts w:hint="eastAsia"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rPr>
    </w:lvl>
    <w:lvl w:ilvl="3" w:tentative="0">
      <w:start w:val="1"/>
      <w:numFmt w:val="decimal"/>
      <w:pStyle w:val="68"/>
      <w:suff w:val="nothing"/>
      <w:lvlText w:val="%1%2.%3.%4　"/>
      <w:lvlJc w:val="left"/>
      <w:pPr>
        <w:ind w:left="0" w:firstLine="0"/>
      </w:pPr>
      <w:rPr>
        <w:rFonts w:hint="eastAsia" w:ascii="黑体" w:hAnsi="Times New Roman" w:eastAsia="黑体"/>
        <w:b w:val="0"/>
        <w:i w:val="0"/>
        <w:sz w:val="21"/>
      </w:rPr>
    </w:lvl>
    <w:lvl w:ilvl="4" w:tentative="0">
      <w:start w:val="1"/>
      <w:numFmt w:val="decimal"/>
      <w:pStyle w:val="69"/>
      <w:suff w:val="nothing"/>
      <w:lvlText w:val="%1%2.%3.%4.%5　"/>
      <w:lvlJc w:val="left"/>
      <w:pPr>
        <w:ind w:left="0" w:firstLine="0"/>
      </w:pPr>
      <w:rPr>
        <w:rFonts w:hint="eastAsia" w:ascii="黑体" w:hAnsi="Times New Roman" w:eastAsia="黑体"/>
        <w:b w:val="0"/>
        <w:i w:val="0"/>
        <w:sz w:val="21"/>
      </w:rPr>
    </w:lvl>
    <w:lvl w:ilvl="5" w:tentative="0">
      <w:start w:val="1"/>
      <w:numFmt w:val="decimal"/>
      <w:pStyle w:val="70"/>
      <w:suff w:val="nothing"/>
      <w:lvlText w:val="%1%2.%3.%4.%5.%6　"/>
      <w:lvlJc w:val="left"/>
      <w:pPr>
        <w:ind w:left="0" w:firstLine="0"/>
      </w:pPr>
      <w:rPr>
        <w:rFonts w:hint="eastAsia" w:ascii="黑体" w:hAnsi="Times New Roman" w:eastAsia="黑体"/>
        <w:b w:val="0"/>
        <w:i w:val="0"/>
        <w:sz w:val="21"/>
      </w:rPr>
    </w:lvl>
    <w:lvl w:ilvl="6" w:tentative="0">
      <w:start w:val="1"/>
      <w:numFmt w:val="decimal"/>
      <w:pStyle w:val="7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3ZDQwMmNiOWFlYzZjYTcwOWJiZGQ0YTA5ODBmZGUifQ=="/>
  </w:docVars>
  <w:rsids>
    <w:rsidRoot w:val="00E72051"/>
    <w:rsid w:val="00001473"/>
    <w:rsid w:val="00002589"/>
    <w:rsid w:val="00002B57"/>
    <w:rsid w:val="00003A23"/>
    <w:rsid w:val="00003BAE"/>
    <w:rsid w:val="0000451C"/>
    <w:rsid w:val="00004D55"/>
    <w:rsid w:val="0000511A"/>
    <w:rsid w:val="00005304"/>
    <w:rsid w:val="00006EBB"/>
    <w:rsid w:val="000071F2"/>
    <w:rsid w:val="000118CC"/>
    <w:rsid w:val="00011AA3"/>
    <w:rsid w:val="000127BB"/>
    <w:rsid w:val="000129EF"/>
    <w:rsid w:val="000135F8"/>
    <w:rsid w:val="00013D0F"/>
    <w:rsid w:val="00013EC0"/>
    <w:rsid w:val="00014343"/>
    <w:rsid w:val="00014DB6"/>
    <w:rsid w:val="00015060"/>
    <w:rsid w:val="00015912"/>
    <w:rsid w:val="00015B09"/>
    <w:rsid w:val="000165C3"/>
    <w:rsid w:val="00017576"/>
    <w:rsid w:val="00020E92"/>
    <w:rsid w:val="00021221"/>
    <w:rsid w:val="00021742"/>
    <w:rsid w:val="00021B8C"/>
    <w:rsid w:val="00021D1D"/>
    <w:rsid w:val="0002206E"/>
    <w:rsid w:val="000220C0"/>
    <w:rsid w:val="000220C3"/>
    <w:rsid w:val="00022DA8"/>
    <w:rsid w:val="00023469"/>
    <w:rsid w:val="00024239"/>
    <w:rsid w:val="00024457"/>
    <w:rsid w:val="00024BFC"/>
    <w:rsid w:val="000251C6"/>
    <w:rsid w:val="000265B0"/>
    <w:rsid w:val="000265BC"/>
    <w:rsid w:val="00027351"/>
    <w:rsid w:val="00027798"/>
    <w:rsid w:val="00031694"/>
    <w:rsid w:val="0003198F"/>
    <w:rsid w:val="000321C2"/>
    <w:rsid w:val="00032464"/>
    <w:rsid w:val="000332C6"/>
    <w:rsid w:val="000336CB"/>
    <w:rsid w:val="00033D8D"/>
    <w:rsid w:val="00034CA9"/>
    <w:rsid w:val="00036806"/>
    <w:rsid w:val="00040B20"/>
    <w:rsid w:val="00040C0F"/>
    <w:rsid w:val="00041E46"/>
    <w:rsid w:val="00041EB6"/>
    <w:rsid w:val="00042217"/>
    <w:rsid w:val="000425E8"/>
    <w:rsid w:val="000433E9"/>
    <w:rsid w:val="00043782"/>
    <w:rsid w:val="00047571"/>
    <w:rsid w:val="00050282"/>
    <w:rsid w:val="00050549"/>
    <w:rsid w:val="0005231C"/>
    <w:rsid w:val="00053A80"/>
    <w:rsid w:val="00053DE6"/>
    <w:rsid w:val="00054399"/>
    <w:rsid w:val="0005492A"/>
    <w:rsid w:val="00055B9C"/>
    <w:rsid w:val="000606E9"/>
    <w:rsid w:val="000623BD"/>
    <w:rsid w:val="000629B5"/>
    <w:rsid w:val="0006337B"/>
    <w:rsid w:val="000638D9"/>
    <w:rsid w:val="00063DE4"/>
    <w:rsid w:val="000643F9"/>
    <w:rsid w:val="00065FB2"/>
    <w:rsid w:val="00072B7B"/>
    <w:rsid w:val="00072FE4"/>
    <w:rsid w:val="00073234"/>
    <w:rsid w:val="00073ED5"/>
    <w:rsid w:val="00076015"/>
    <w:rsid w:val="00076328"/>
    <w:rsid w:val="0007639E"/>
    <w:rsid w:val="00076D46"/>
    <w:rsid w:val="00080647"/>
    <w:rsid w:val="000819EC"/>
    <w:rsid w:val="000822CD"/>
    <w:rsid w:val="00082836"/>
    <w:rsid w:val="00082B16"/>
    <w:rsid w:val="000830A3"/>
    <w:rsid w:val="000840DD"/>
    <w:rsid w:val="000845A0"/>
    <w:rsid w:val="00084794"/>
    <w:rsid w:val="00085835"/>
    <w:rsid w:val="00085A84"/>
    <w:rsid w:val="0008733B"/>
    <w:rsid w:val="00091AD0"/>
    <w:rsid w:val="000930AA"/>
    <w:rsid w:val="000943AF"/>
    <w:rsid w:val="00094B53"/>
    <w:rsid w:val="000954FF"/>
    <w:rsid w:val="000968EE"/>
    <w:rsid w:val="00096D32"/>
    <w:rsid w:val="00097195"/>
    <w:rsid w:val="00097E36"/>
    <w:rsid w:val="000A1017"/>
    <w:rsid w:val="000A156E"/>
    <w:rsid w:val="000A3955"/>
    <w:rsid w:val="000A4430"/>
    <w:rsid w:val="000A499D"/>
    <w:rsid w:val="000A4EF9"/>
    <w:rsid w:val="000A5A90"/>
    <w:rsid w:val="000A6C77"/>
    <w:rsid w:val="000A73DE"/>
    <w:rsid w:val="000A73EE"/>
    <w:rsid w:val="000A7D0D"/>
    <w:rsid w:val="000B0752"/>
    <w:rsid w:val="000B0FD4"/>
    <w:rsid w:val="000B192C"/>
    <w:rsid w:val="000B1B7E"/>
    <w:rsid w:val="000B2204"/>
    <w:rsid w:val="000B28EF"/>
    <w:rsid w:val="000B3D81"/>
    <w:rsid w:val="000B5D12"/>
    <w:rsid w:val="000B7A85"/>
    <w:rsid w:val="000C003E"/>
    <w:rsid w:val="000C19A9"/>
    <w:rsid w:val="000C36AC"/>
    <w:rsid w:val="000C3A42"/>
    <w:rsid w:val="000C3DE1"/>
    <w:rsid w:val="000C43A4"/>
    <w:rsid w:val="000C45D5"/>
    <w:rsid w:val="000C4604"/>
    <w:rsid w:val="000C4609"/>
    <w:rsid w:val="000C4A53"/>
    <w:rsid w:val="000C5789"/>
    <w:rsid w:val="000C60AB"/>
    <w:rsid w:val="000C6B9A"/>
    <w:rsid w:val="000C701D"/>
    <w:rsid w:val="000C7196"/>
    <w:rsid w:val="000C7862"/>
    <w:rsid w:val="000D0273"/>
    <w:rsid w:val="000D0501"/>
    <w:rsid w:val="000D16EB"/>
    <w:rsid w:val="000D2D04"/>
    <w:rsid w:val="000D3621"/>
    <w:rsid w:val="000D37A7"/>
    <w:rsid w:val="000D5BC0"/>
    <w:rsid w:val="000D5D01"/>
    <w:rsid w:val="000D675C"/>
    <w:rsid w:val="000D6D12"/>
    <w:rsid w:val="000D7886"/>
    <w:rsid w:val="000E0D8D"/>
    <w:rsid w:val="000E3355"/>
    <w:rsid w:val="000E3498"/>
    <w:rsid w:val="000E3C3E"/>
    <w:rsid w:val="000E47CD"/>
    <w:rsid w:val="000E4BBF"/>
    <w:rsid w:val="000E5117"/>
    <w:rsid w:val="000E56A2"/>
    <w:rsid w:val="000E586F"/>
    <w:rsid w:val="000E5BD2"/>
    <w:rsid w:val="000E6141"/>
    <w:rsid w:val="000E6526"/>
    <w:rsid w:val="000E775B"/>
    <w:rsid w:val="000F0245"/>
    <w:rsid w:val="000F06E8"/>
    <w:rsid w:val="000F0D66"/>
    <w:rsid w:val="000F1675"/>
    <w:rsid w:val="000F16CE"/>
    <w:rsid w:val="000F1773"/>
    <w:rsid w:val="000F2029"/>
    <w:rsid w:val="000F22B0"/>
    <w:rsid w:val="000F2950"/>
    <w:rsid w:val="000F296E"/>
    <w:rsid w:val="000F4092"/>
    <w:rsid w:val="000F5176"/>
    <w:rsid w:val="000F5D2B"/>
    <w:rsid w:val="000F6E75"/>
    <w:rsid w:val="000F7DB7"/>
    <w:rsid w:val="0010000A"/>
    <w:rsid w:val="001001A6"/>
    <w:rsid w:val="00101212"/>
    <w:rsid w:val="001020CA"/>
    <w:rsid w:val="00102410"/>
    <w:rsid w:val="0010295C"/>
    <w:rsid w:val="0010339E"/>
    <w:rsid w:val="00104B90"/>
    <w:rsid w:val="00104BC4"/>
    <w:rsid w:val="0010534C"/>
    <w:rsid w:val="00105CFF"/>
    <w:rsid w:val="001075BF"/>
    <w:rsid w:val="00107CD3"/>
    <w:rsid w:val="00107D03"/>
    <w:rsid w:val="001100E8"/>
    <w:rsid w:val="0011175D"/>
    <w:rsid w:val="0011270A"/>
    <w:rsid w:val="00112749"/>
    <w:rsid w:val="00112E20"/>
    <w:rsid w:val="0011359D"/>
    <w:rsid w:val="001136DA"/>
    <w:rsid w:val="00113F04"/>
    <w:rsid w:val="001150A2"/>
    <w:rsid w:val="001166BD"/>
    <w:rsid w:val="00117AE0"/>
    <w:rsid w:val="001202E9"/>
    <w:rsid w:val="00120657"/>
    <w:rsid w:val="00120DDA"/>
    <w:rsid w:val="001225F8"/>
    <w:rsid w:val="001226FF"/>
    <w:rsid w:val="00122BA3"/>
    <w:rsid w:val="00122D9F"/>
    <w:rsid w:val="00124883"/>
    <w:rsid w:val="001248EB"/>
    <w:rsid w:val="0012492A"/>
    <w:rsid w:val="00124CDC"/>
    <w:rsid w:val="00125EBD"/>
    <w:rsid w:val="00126AB0"/>
    <w:rsid w:val="00126DB5"/>
    <w:rsid w:val="00127623"/>
    <w:rsid w:val="00130864"/>
    <w:rsid w:val="00131FF0"/>
    <w:rsid w:val="00134B42"/>
    <w:rsid w:val="00135282"/>
    <w:rsid w:val="00135373"/>
    <w:rsid w:val="001370F8"/>
    <w:rsid w:val="00140DC9"/>
    <w:rsid w:val="001427DB"/>
    <w:rsid w:val="00142F1F"/>
    <w:rsid w:val="00143C93"/>
    <w:rsid w:val="00143F8C"/>
    <w:rsid w:val="00146DA2"/>
    <w:rsid w:val="0015160F"/>
    <w:rsid w:val="001539C3"/>
    <w:rsid w:val="00153FA4"/>
    <w:rsid w:val="00154004"/>
    <w:rsid w:val="00155B47"/>
    <w:rsid w:val="00156E7D"/>
    <w:rsid w:val="001570CA"/>
    <w:rsid w:val="001571A2"/>
    <w:rsid w:val="00160435"/>
    <w:rsid w:val="00162575"/>
    <w:rsid w:val="00162FD7"/>
    <w:rsid w:val="00164E81"/>
    <w:rsid w:val="00164FCD"/>
    <w:rsid w:val="00165A87"/>
    <w:rsid w:val="001660A3"/>
    <w:rsid w:val="001664D9"/>
    <w:rsid w:val="0016671E"/>
    <w:rsid w:val="001678DE"/>
    <w:rsid w:val="00167E56"/>
    <w:rsid w:val="0017078B"/>
    <w:rsid w:val="00171374"/>
    <w:rsid w:val="001714D9"/>
    <w:rsid w:val="00171645"/>
    <w:rsid w:val="0017180E"/>
    <w:rsid w:val="001722FB"/>
    <w:rsid w:val="0017290D"/>
    <w:rsid w:val="00173C65"/>
    <w:rsid w:val="0017470C"/>
    <w:rsid w:val="001757D3"/>
    <w:rsid w:val="00175988"/>
    <w:rsid w:val="00175FB9"/>
    <w:rsid w:val="001769C6"/>
    <w:rsid w:val="001775CB"/>
    <w:rsid w:val="0017779D"/>
    <w:rsid w:val="0017782A"/>
    <w:rsid w:val="00181646"/>
    <w:rsid w:val="001829BA"/>
    <w:rsid w:val="00182FCA"/>
    <w:rsid w:val="00183EAA"/>
    <w:rsid w:val="00184587"/>
    <w:rsid w:val="00184975"/>
    <w:rsid w:val="0018503C"/>
    <w:rsid w:val="001869C7"/>
    <w:rsid w:val="001879F1"/>
    <w:rsid w:val="00187B7A"/>
    <w:rsid w:val="00187BBA"/>
    <w:rsid w:val="0019036D"/>
    <w:rsid w:val="00190480"/>
    <w:rsid w:val="00192BBE"/>
    <w:rsid w:val="001934EB"/>
    <w:rsid w:val="0019622D"/>
    <w:rsid w:val="00196626"/>
    <w:rsid w:val="0019739E"/>
    <w:rsid w:val="00197BB6"/>
    <w:rsid w:val="00197F70"/>
    <w:rsid w:val="001A032B"/>
    <w:rsid w:val="001A086E"/>
    <w:rsid w:val="001A1F5E"/>
    <w:rsid w:val="001A23DF"/>
    <w:rsid w:val="001A303E"/>
    <w:rsid w:val="001B0059"/>
    <w:rsid w:val="001B0440"/>
    <w:rsid w:val="001B0EB0"/>
    <w:rsid w:val="001B13CD"/>
    <w:rsid w:val="001B1459"/>
    <w:rsid w:val="001B1657"/>
    <w:rsid w:val="001B1D12"/>
    <w:rsid w:val="001B24E7"/>
    <w:rsid w:val="001B3ADE"/>
    <w:rsid w:val="001B45B1"/>
    <w:rsid w:val="001B4B18"/>
    <w:rsid w:val="001B5420"/>
    <w:rsid w:val="001B5E23"/>
    <w:rsid w:val="001B5E6C"/>
    <w:rsid w:val="001C061C"/>
    <w:rsid w:val="001C27D2"/>
    <w:rsid w:val="001C3A2A"/>
    <w:rsid w:val="001C414C"/>
    <w:rsid w:val="001C4BBA"/>
    <w:rsid w:val="001C6050"/>
    <w:rsid w:val="001C6626"/>
    <w:rsid w:val="001C74DC"/>
    <w:rsid w:val="001C7530"/>
    <w:rsid w:val="001C788E"/>
    <w:rsid w:val="001D00E8"/>
    <w:rsid w:val="001D2018"/>
    <w:rsid w:val="001D2444"/>
    <w:rsid w:val="001D283A"/>
    <w:rsid w:val="001D2860"/>
    <w:rsid w:val="001D2A3B"/>
    <w:rsid w:val="001D2D14"/>
    <w:rsid w:val="001D3322"/>
    <w:rsid w:val="001D3B82"/>
    <w:rsid w:val="001D50F1"/>
    <w:rsid w:val="001D586F"/>
    <w:rsid w:val="001D6919"/>
    <w:rsid w:val="001D725C"/>
    <w:rsid w:val="001E0167"/>
    <w:rsid w:val="001E0866"/>
    <w:rsid w:val="001E1BE1"/>
    <w:rsid w:val="001E1C08"/>
    <w:rsid w:val="001E277B"/>
    <w:rsid w:val="001E33B2"/>
    <w:rsid w:val="001E4A4F"/>
    <w:rsid w:val="001E5371"/>
    <w:rsid w:val="001E5610"/>
    <w:rsid w:val="001E57E1"/>
    <w:rsid w:val="001E5845"/>
    <w:rsid w:val="001F0474"/>
    <w:rsid w:val="001F0E37"/>
    <w:rsid w:val="001F114D"/>
    <w:rsid w:val="001F2701"/>
    <w:rsid w:val="001F2B52"/>
    <w:rsid w:val="001F2B78"/>
    <w:rsid w:val="001F38A9"/>
    <w:rsid w:val="001F4B8F"/>
    <w:rsid w:val="001F5267"/>
    <w:rsid w:val="001F7E54"/>
    <w:rsid w:val="002001A3"/>
    <w:rsid w:val="0020158F"/>
    <w:rsid w:val="00201D40"/>
    <w:rsid w:val="002022FB"/>
    <w:rsid w:val="00202441"/>
    <w:rsid w:val="00202964"/>
    <w:rsid w:val="00202CDF"/>
    <w:rsid w:val="002041D4"/>
    <w:rsid w:val="00204F12"/>
    <w:rsid w:val="002053BE"/>
    <w:rsid w:val="002068D5"/>
    <w:rsid w:val="00206F4F"/>
    <w:rsid w:val="0021098B"/>
    <w:rsid w:val="0021144F"/>
    <w:rsid w:val="00211A6C"/>
    <w:rsid w:val="002121DC"/>
    <w:rsid w:val="00212358"/>
    <w:rsid w:val="002134D0"/>
    <w:rsid w:val="0021351C"/>
    <w:rsid w:val="00213D8D"/>
    <w:rsid w:val="00214DC4"/>
    <w:rsid w:val="00214E35"/>
    <w:rsid w:val="002150EF"/>
    <w:rsid w:val="0021612A"/>
    <w:rsid w:val="0021738B"/>
    <w:rsid w:val="0021799B"/>
    <w:rsid w:val="00217D6A"/>
    <w:rsid w:val="00220797"/>
    <w:rsid w:val="00220998"/>
    <w:rsid w:val="0022118F"/>
    <w:rsid w:val="00221866"/>
    <w:rsid w:val="00222746"/>
    <w:rsid w:val="002228D3"/>
    <w:rsid w:val="00222ACA"/>
    <w:rsid w:val="002233B6"/>
    <w:rsid w:val="0022405C"/>
    <w:rsid w:val="002244EF"/>
    <w:rsid w:val="00225933"/>
    <w:rsid w:val="00225DD2"/>
    <w:rsid w:val="0022660E"/>
    <w:rsid w:val="00227527"/>
    <w:rsid w:val="00227EC2"/>
    <w:rsid w:val="0023028B"/>
    <w:rsid w:val="00230468"/>
    <w:rsid w:val="002313A1"/>
    <w:rsid w:val="0023153B"/>
    <w:rsid w:val="00231FCC"/>
    <w:rsid w:val="002321F0"/>
    <w:rsid w:val="00232D24"/>
    <w:rsid w:val="00233053"/>
    <w:rsid w:val="0023312D"/>
    <w:rsid w:val="00234C67"/>
    <w:rsid w:val="0023666F"/>
    <w:rsid w:val="00236C08"/>
    <w:rsid w:val="00241044"/>
    <w:rsid w:val="00241D77"/>
    <w:rsid w:val="0024264C"/>
    <w:rsid w:val="0024377D"/>
    <w:rsid w:val="0024467F"/>
    <w:rsid w:val="002455C7"/>
    <w:rsid w:val="00246B76"/>
    <w:rsid w:val="00247303"/>
    <w:rsid w:val="00247448"/>
    <w:rsid w:val="00247FE2"/>
    <w:rsid w:val="00250027"/>
    <w:rsid w:val="002521AB"/>
    <w:rsid w:val="00253B7A"/>
    <w:rsid w:val="002541A6"/>
    <w:rsid w:val="00254A85"/>
    <w:rsid w:val="00255762"/>
    <w:rsid w:val="00255D16"/>
    <w:rsid w:val="00256FDD"/>
    <w:rsid w:val="00257956"/>
    <w:rsid w:val="00260293"/>
    <w:rsid w:val="00260D3E"/>
    <w:rsid w:val="00262D2A"/>
    <w:rsid w:val="00263071"/>
    <w:rsid w:val="00263469"/>
    <w:rsid w:val="002634AD"/>
    <w:rsid w:val="00263BCB"/>
    <w:rsid w:val="00265EEE"/>
    <w:rsid w:val="00266138"/>
    <w:rsid w:val="00267BB8"/>
    <w:rsid w:val="00270B06"/>
    <w:rsid w:val="0027212A"/>
    <w:rsid w:val="00273558"/>
    <w:rsid w:val="00273987"/>
    <w:rsid w:val="0027430D"/>
    <w:rsid w:val="0027460C"/>
    <w:rsid w:val="00276043"/>
    <w:rsid w:val="00276347"/>
    <w:rsid w:val="002765CF"/>
    <w:rsid w:val="00276E6A"/>
    <w:rsid w:val="002776DA"/>
    <w:rsid w:val="00280256"/>
    <w:rsid w:val="00280918"/>
    <w:rsid w:val="00280BC6"/>
    <w:rsid w:val="00280CF7"/>
    <w:rsid w:val="00281C23"/>
    <w:rsid w:val="002823FC"/>
    <w:rsid w:val="0028272E"/>
    <w:rsid w:val="00282DA3"/>
    <w:rsid w:val="00283ECB"/>
    <w:rsid w:val="002854D2"/>
    <w:rsid w:val="002854EB"/>
    <w:rsid w:val="002869DC"/>
    <w:rsid w:val="00286AF2"/>
    <w:rsid w:val="002872E0"/>
    <w:rsid w:val="00290C55"/>
    <w:rsid w:val="002913E0"/>
    <w:rsid w:val="00293669"/>
    <w:rsid w:val="00293BD1"/>
    <w:rsid w:val="00295560"/>
    <w:rsid w:val="00295650"/>
    <w:rsid w:val="00295726"/>
    <w:rsid w:val="00296E7A"/>
    <w:rsid w:val="002973EA"/>
    <w:rsid w:val="002975EA"/>
    <w:rsid w:val="00297848"/>
    <w:rsid w:val="00297C90"/>
    <w:rsid w:val="00297DE5"/>
    <w:rsid w:val="002A111B"/>
    <w:rsid w:val="002A16E9"/>
    <w:rsid w:val="002A1C37"/>
    <w:rsid w:val="002A1DEF"/>
    <w:rsid w:val="002A1E64"/>
    <w:rsid w:val="002A2C9C"/>
    <w:rsid w:val="002A311E"/>
    <w:rsid w:val="002A38D9"/>
    <w:rsid w:val="002A7804"/>
    <w:rsid w:val="002B0715"/>
    <w:rsid w:val="002B1A06"/>
    <w:rsid w:val="002B333B"/>
    <w:rsid w:val="002B3CC8"/>
    <w:rsid w:val="002B41E8"/>
    <w:rsid w:val="002B4698"/>
    <w:rsid w:val="002B4D84"/>
    <w:rsid w:val="002B5ADC"/>
    <w:rsid w:val="002B6389"/>
    <w:rsid w:val="002B6CDA"/>
    <w:rsid w:val="002B71A8"/>
    <w:rsid w:val="002C0598"/>
    <w:rsid w:val="002C07D2"/>
    <w:rsid w:val="002C12A2"/>
    <w:rsid w:val="002C19A5"/>
    <w:rsid w:val="002C2785"/>
    <w:rsid w:val="002C2791"/>
    <w:rsid w:val="002C35D5"/>
    <w:rsid w:val="002C3631"/>
    <w:rsid w:val="002C566D"/>
    <w:rsid w:val="002C70AC"/>
    <w:rsid w:val="002C7BD2"/>
    <w:rsid w:val="002C7EE2"/>
    <w:rsid w:val="002D1678"/>
    <w:rsid w:val="002D177B"/>
    <w:rsid w:val="002D3B32"/>
    <w:rsid w:val="002D49D7"/>
    <w:rsid w:val="002D60C1"/>
    <w:rsid w:val="002D627D"/>
    <w:rsid w:val="002D632F"/>
    <w:rsid w:val="002D6F65"/>
    <w:rsid w:val="002D7073"/>
    <w:rsid w:val="002D7ACF"/>
    <w:rsid w:val="002D7F95"/>
    <w:rsid w:val="002E01D2"/>
    <w:rsid w:val="002E0893"/>
    <w:rsid w:val="002E1A5B"/>
    <w:rsid w:val="002E1D7C"/>
    <w:rsid w:val="002E1E25"/>
    <w:rsid w:val="002E3E8C"/>
    <w:rsid w:val="002E4332"/>
    <w:rsid w:val="002E4F1A"/>
    <w:rsid w:val="002E5151"/>
    <w:rsid w:val="002E5614"/>
    <w:rsid w:val="002E61A4"/>
    <w:rsid w:val="002E721B"/>
    <w:rsid w:val="002F04E0"/>
    <w:rsid w:val="002F085A"/>
    <w:rsid w:val="002F08FB"/>
    <w:rsid w:val="002F0B50"/>
    <w:rsid w:val="002F2A42"/>
    <w:rsid w:val="002F3320"/>
    <w:rsid w:val="002F33DF"/>
    <w:rsid w:val="002F3F87"/>
    <w:rsid w:val="002F4F91"/>
    <w:rsid w:val="002F6999"/>
    <w:rsid w:val="002F6B2F"/>
    <w:rsid w:val="003012EF"/>
    <w:rsid w:val="003038D4"/>
    <w:rsid w:val="003047EB"/>
    <w:rsid w:val="00305866"/>
    <w:rsid w:val="0030592D"/>
    <w:rsid w:val="00305A86"/>
    <w:rsid w:val="00310104"/>
    <w:rsid w:val="0031051F"/>
    <w:rsid w:val="00310897"/>
    <w:rsid w:val="00310E02"/>
    <w:rsid w:val="00311AC7"/>
    <w:rsid w:val="003125DF"/>
    <w:rsid w:val="00312EE3"/>
    <w:rsid w:val="00313061"/>
    <w:rsid w:val="003130E2"/>
    <w:rsid w:val="003131A3"/>
    <w:rsid w:val="003133CB"/>
    <w:rsid w:val="00314081"/>
    <w:rsid w:val="003141A0"/>
    <w:rsid w:val="00314272"/>
    <w:rsid w:val="00315E57"/>
    <w:rsid w:val="003177CD"/>
    <w:rsid w:val="00320545"/>
    <w:rsid w:val="00320883"/>
    <w:rsid w:val="003215FD"/>
    <w:rsid w:val="00322226"/>
    <w:rsid w:val="00322799"/>
    <w:rsid w:val="00322B70"/>
    <w:rsid w:val="0032330A"/>
    <w:rsid w:val="00323CC7"/>
    <w:rsid w:val="00324A7D"/>
    <w:rsid w:val="00325CB5"/>
    <w:rsid w:val="003262C5"/>
    <w:rsid w:val="003262F2"/>
    <w:rsid w:val="0032639B"/>
    <w:rsid w:val="003263F4"/>
    <w:rsid w:val="00326C74"/>
    <w:rsid w:val="003276A9"/>
    <w:rsid w:val="003276EE"/>
    <w:rsid w:val="003277C8"/>
    <w:rsid w:val="00327CFF"/>
    <w:rsid w:val="0033173E"/>
    <w:rsid w:val="00331C6F"/>
    <w:rsid w:val="0033335C"/>
    <w:rsid w:val="00333E2F"/>
    <w:rsid w:val="00334FC1"/>
    <w:rsid w:val="003353F8"/>
    <w:rsid w:val="00336975"/>
    <w:rsid w:val="0033702C"/>
    <w:rsid w:val="00337897"/>
    <w:rsid w:val="00340CCC"/>
    <w:rsid w:val="0034157A"/>
    <w:rsid w:val="00343680"/>
    <w:rsid w:val="00345EE6"/>
    <w:rsid w:val="003461CF"/>
    <w:rsid w:val="00346A78"/>
    <w:rsid w:val="00347BD3"/>
    <w:rsid w:val="00347C13"/>
    <w:rsid w:val="00351086"/>
    <w:rsid w:val="003541DF"/>
    <w:rsid w:val="00356CE3"/>
    <w:rsid w:val="00357582"/>
    <w:rsid w:val="003604EA"/>
    <w:rsid w:val="00360872"/>
    <w:rsid w:val="00360E62"/>
    <w:rsid w:val="00360FAF"/>
    <w:rsid w:val="00361A5C"/>
    <w:rsid w:val="00362030"/>
    <w:rsid w:val="00362A79"/>
    <w:rsid w:val="0036425F"/>
    <w:rsid w:val="00364699"/>
    <w:rsid w:val="003649D9"/>
    <w:rsid w:val="00364F36"/>
    <w:rsid w:val="00365FFF"/>
    <w:rsid w:val="003660D0"/>
    <w:rsid w:val="00370310"/>
    <w:rsid w:val="003707B2"/>
    <w:rsid w:val="00371BD3"/>
    <w:rsid w:val="00372028"/>
    <w:rsid w:val="0037202F"/>
    <w:rsid w:val="00373E85"/>
    <w:rsid w:val="00373F7D"/>
    <w:rsid w:val="003750D3"/>
    <w:rsid w:val="00375C01"/>
    <w:rsid w:val="00376F16"/>
    <w:rsid w:val="00377AAF"/>
    <w:rsid w:val="003814E4"/>
    <w:rsid w:val="00382D92"/>
    <w:rsid w:val="00383CEC"/>
    <w:rsid w:val="00384A54"/>
    <w:rsid w:val="00384F8D"/>
    <w:rsid w:val="00385079"/>
    <w:rsid w:val="003855AC"/>
    <w:rsid w:val="00387755"/>
    <w:rsid w:val="00390E6B"/>
    <w:rsid w:val="003921D9"/>
    <w:rsid w:val="0039286C"/>
    <w:rsid w:val="00393F19"/>
    <w:rsid w:val="0039466A"/>
    <w:rsid w:val="003953CE"/>
    <w:rsid w:val="00396589"/>
    <w:rsid w:val="003968E4"/>
    <w:rsid w:val="00397261"/>
    <w:rsid w:val="003A0457"/>
    <w:rsid w:val="003A08CF"/>
    <w:rsid w:val="003A1222"/>
    <w:rsid w:val="003A1996"/>
    <w:rsid w:val="003A1A50"/>
    <w:rsid w:val="003A1BE9"/>
    <w:rsid w:val="003A35F8"/>
    <w:rsid w:val="003A3776"/>
    <w:rsid w:val="003A3BC6"/>
    <w:rsid w:val="003A5417"/>
    <w:rsid w:val="003A5BD0"/>
    <w:rsid w:val="003A5C71"/>
    <w:rsid w:val="003B056C"/>
    <w:rsid w:val="003B0FA5"/>
    <w:rsid w:val="003B1B95"/>
    <w:rsid w:val="003B28F4"/>
    <w:rsid w:val="003B2D98"/>
    <w:rsid w:val="003B3728"/>
    <w:rsid w:val="003B3A68"/>
    <w:rsid w:val="003B3B45"/>
    <w:rsid w:val="003B3EE2"/>
    <w:rsid w:val="003B3F35"/>
    <w:rsid w:val="003B4DA7"/>
    <w:rsid w:val="003B518B"/>
    <w:rsid w:val="003B56A8"/>
    <w:rsid w:val="003C00D2"/>
    <w:rsid w:val="003C23B0"/>
    <w:rsid w:val="003C23C2"/>
    <w:rsid w:val="003C292E"/>
    <w:rsid w:val="003C57D8"/>
    <w:rsid w:val="003C59DD"/>
    <w:rsid w:val="003C6881"/>
    <w:rsid w:val="003C6A7F"/>
    <w:rsid w:val="003C6BA5"/>
    <w:rsid w:val="003C7AD0"/>
    <w:rsid w:val="003C7AD9"/>
    <w:rsid w:val="003D017A"/>
    <w:rsid w:val="003D0826"/>
    <w:rsid w:val="003D0863"/>
    <w:rsid w:val="003D43A4"/>
    <w:rsid w:val="003D4F8D"/>
    <w:rsid w:val="003D58F0"/>
    <w:rsid w:val="003D716D"/>
    <w:rsid w:val="003D71F4"/>
    <w:rsid w:val="003D7A5B"/>
    <w:rsid w:val="003D7C83"/>
    <w:rsid w:val="003D7EAA"/>
    <w:rsid w:val="003D7FF7"/>
    <w:rsid w:val="003E07CD"/>
    <w:rsid w:val="003E0B83"/>
    <w:rsid w:val="003E10EA"/>
    <w:rsid w:val="003E1E95"/>
    <w:rsid w:val="003E3EE1"/>
    <w:rsid w:val="003E47E1"/>
    <w:rsid w:val="003E580E"/>
    <w:rsid w:val="003E723F"/>
    <w:rsid w:val="003F010F"/>
    <w:rsid w:val="003F0168"/>
    <w:rsid w:val="003F1211"/>
    <w:rsid w:val="003F1A11"/>
    <w:rsid w:val="003F2B7F"/>
    <w:rsid w:val="003F2B8A"/>
    <w:rsid w:val="003F3DAE"/>
    <w:rsid w:val="003F5174"/>
    <w:rsid w:val="003F66F3"/>
    <w:rsid w:val="003F6ED0"/>
    <w:rsid w:val="003F745B"/>
    <w:rsid w:val="003F7837"/>
    <w:rsid w:val="003F7E13"/>
    <w:rsid w:val="004012AD"/>
    <w:rsid w:val="004015E6"/>
    <w:rsid w:val="0040417F"/>
    <w:rsid w:val="004044D7"/>
    <w:rsid w:val="00404CAD"/>
    <w:rsid w:val="004051C9"/>
    <w:rsid w:val="00405E33"/>
    <w:rsid w:val="004060E7"/>
    <w:rsid w:val="0040763A"/>
    <w:rsid w:val="0040772A"/>
    <w:rsid w:val="004100E5"/>
    <w:rsid w:val="004123AA"/>
    <w:rsid w:val="0041333E"/>
    <w:rsid w:val="00413BCB"/>
    <w:rsid w:val="0041413E"/>
    <w:rsid w:val="004147CF"/>
    <w:rsid w:val="00415216"/>
    <w:rsid w:val="0041576B"/>
    <w:rsid w:val="00415AE2"/>
    <w:rsid w:val="00415E11"/>
    <w:rsid w:val="0041601E"/>
    <w:rsid w:val="00417ACD"/>
    <w:rsid w:val="0042505F"/>
    <w:rsid w:val="004257E8"/>
    <w:rsid w:val="00425A46"/>
    <w:rsid w:val="00426423"/>
    <w:rsid w:val="004270CD"/>
    <w:rsid w:val="00427524"/>
    <w:rsid w:val="00427FAE"/>
    <w:rsid w:val="00430F60"/>
    <w:rsid w:val="004310B4"/>
    <w:rsid w:val="00431654"/>
    <w:rsid w:val="00431D16"/>
    <w:rsid w:val="0043240B"/>
    <w:rsid w:val="0043249C"/>
    <w:rsid w:val="004328F0"/>
    <w:rsid w:val="00434801"/>
    <w:rsid w:val="00434FE0"/>
    <w:rsid w:val="00435259"/>
    <w:rsid w:val="00436B9D"/>
    <w:rsid w:val="004400A7"/>
    <w:rsid w:val="00440BCB"/>
    <w:rsid w:val="00441C8E"/>
    <w:rsid w:val="0044218A"/>
    <w:rsid w:val="00442CC9"/>
    <w:rsid w:val="00442F0B"/>
    <w:rsid w:val="00442FE7"/>
    <w:rsid w:val="004456A0"/>
    <w:rsid w:val="004458B8"/>
    <w:rsid w:val="004468C1"/>
    <w:rsid w:val="00446BEB"/>
    <w:rsid w:val="00447D43"/>
    <w:rsid w:val="00447FF2"/>
    <w:rsid w:val="004505FD"/>
    <w:rsid w:val="00450985"/>
    <w:rsid w:val="00450B0B"/>
    <w:rsid w:val="00451055"/>
    <w:rsid w:val="00451744"/>
    <w:rsid w:val="00452155"/>
    <w:rsid w:val="00452CF0"/>
    <w:rsid w:val="00453187"/>
    <w:rsid w:val="00453D71"/>
    <w:rsid w:val="0045517F"/>
    <w:rsid w:val="0045547A"/>
    <w:rsid w:val="004565A8"/>
    <w:rsid w:val="00457062"/>
    <w:rsid w:val="00457240"/>
    <w:rsid w:val="0045763F"/>
    <w:rsid w:val="004607BC"/>
    <w:rsid w:val="0046163C"/>
    <w:rsid w:val="004618F0"/>
    <w:rsid w:val="00462D01"/>
    <w:rsid w:val="004630C7"/>
    <w:rsid w:val="00463624"/>
    <w:rsid w:val="00463716"/>
    <w:rsid w:val="00463E51"/>
    <w:rsid w:val="0046462D"/>
    <w:rsid w:val="004660C6"/>
    <w:rsid w:val="004675CA"/>
    <w:rsid w:val="00467A35"/>
    <w:rsid w:val="0047185B"/>
    <w:rsid w:val="00472CE3"/>
    <w:rsid w:val="004739DD"/>
    <w:rsid w:val="00473D9C"/>
    <w:rsid w:val="00474C21"/>
    <w:rsid w:val="00474FB0"/>
    <w:rsid w:val="0047524E"/>
    <w:rsid w:val="004753B5"/>
    <w:rsid w:val="00477402"/>
    <w:rsid w:val="00477B81"/>
    <w:rsid w:val="00477C86"/>
    <w:rsid w:val="0048049D"/>
    <w:rsid w:val="0048085E"/>
    <w:rsid w:val="00480C1D"/>
    <w:rsid w:val="00481366"/>
    <w:rsid w:val="0048180A"/>
    <w:rsid w:val="00482D0C"/>
    <w:rsid w:val="004831CB"/>
    <w:rsid w:val="00483370"/>
    <w:rsid w:val="00484BF4"/>
    <w:rsid w:val="00485680"/>
    <w:rsid w:val="00485DD5"/>
    <w:rsid w:val="004864B9"/>
    <w:rsid w:val="004867C1"/>
    <w:rsid w:val="004867E7"/>
    <w:rsid w:val="0048784D"/>
    <w:rsid w:val="004878C5"/>
    <w:rsid w:val="004900C9"/>
    <w:rsid w:val="00490312"/>
    <w:rsid w:val="004906F3"/>
    <w:rsid w:val="00490A91"/>
    <w:rsid w:val="004914A6"/>
    <w:rsid w:val="00491EC9"/>
    <w:rsid w:val="0049239B"/>
    <w:rsid w:val="00492C75"/>
    <w:rsid w:val="004930C2"/>
    <w:rsid w:val="004939A8"/>
    <w:rsid w:val="004948FB"/>
    <w:rsid w:val="00494CAD"/>
    <w:rsid w:val="00495425"/>
    <w:rsid w:val="00495D40"/>
    <w:rsid w:val="00496C08"/>
    <w:rsid w:val="004978C9"/>
    <w:rsid w:val="004A03C3"/>
    <w:rsid w:val="004A1AD7"/>
    <w:rsid w:val="004A205C"/>
    <w:rsid w:val="004A238C"/>
    <w:rsid w:val="004A2926"/>
    <w:rsid w:val="004A2C50"/>
    <w:rsid w:val="004A3649"/>
    <w:rsid w:val="004A5586"/>
    <w:rsid w:val="004A5CA2"/>
    <w:rsid w:val="004A6E44"/>
    <w:rsid w:val="004A79A0"/>
    <w:rsid w:val="004B0298"/>
    <w:rsid w:val="004B04FD"/>
    <w:rsid w:val="004B0DF9"/>
    <w:rsid w:val="004B48C7"/>
    <w:rsid w:val="004B55FC"/>
    <w:rsid w:val="004B7EDC"/>
    <w:rsid w:val="004B7F30"/>
    <w:rsid w:val="004C0C18"/>
    <w:rsid w:val="004C0FA2"/>
    <w:rsid w:val="004C102E"/>
    <w:rsid w:val="004C1193"/>
    <w:rsid w:val="004C1418"/>
    <w:rsid w:val="004C1A12"/>
    <w:rsid w:val="004C49B3"/>
    <w:rsid w:val="004C4E22"/>
    <w:rsid w:val="004C4FF6"/>
    <w:rsid w:val="004C5AA1"/>
    <w:rsid w:val="004C6357"/>
    <w:rsid w:val="004D0185"/>
    <w:rsid w:val="004D0636"/>
    <w:rsid w:val="004D1A15"/>
    <w:rsid w:val="004D1F18"/>
    <w:rsid w:val="004D21D6"/>
    <w:rsid w:val="004D2A79"/>
    <w:rsid w:val="004D2D80"/>
    <w:rsid w:val="004D5512"/>
    <w:rsid w:val="004D5B7B"/>
    <w:rsid w:val="004D5EAB"/>
    <w:rsid w:val="004D642E"/>
    <w:rsid w:val="004D6D54"/>
    <w:rsid w:val="004D6E9B"/>
    <w:rsid w:val="004E0F00"/>
    <w:rsid w:val="004E107B"/>
    <w:rsid w:val="004E36A1"/>
    <w:rsid w:val="004E4DC5"/>
    <w:rsid w:val="004E62DF"/>
    <w:rsid w:val="004E786C"/>
    <w:rsid w:val="004F0010"/>
    <w:rsid w:val="004F18FE"/>
    <w:rsid w:val="004F1D7D"/>
    <w:rsid w:val="004F29CA"/>
    <w:rsid w:val="004F3320"/>
    <w:rsid w:val="004F3677"/>
    <w:rsid w:val="004F36D4"/>
    <w:rsid w:val="004F4386"/>
    <w:rsid w:val="004F5D71"/>
    <w:rsid w:val="005006BA"/>
    <w:rsid w:val="00500F7E"/>
    <w:rsid w:val="005041ED"/>
    <w:rsid w:val="00504404"/>
    <w:rsid w:val="00505023"/>
    <w:rsid w:val="00507311"/>
    <w:rsid w:val="005079CD"/>
    <w:rsid w:val="005123ED"/>
    <w:rsid w:val="00512EDD"/>
    <w:rsid w:val="00514830"/>
    <w:rsid w:val="00514C3A"/>
    <w:rsid w:val="0051604C"/>
    <w:rsid w:val="005168C6"/>
    <w:rsid w:val="00517271"/>
    <w:rsid w:val="005207D2"/>
    <w:rsid w:val="00521357"/>
    <w:rsid w:val="005215B0"/>
    <w:rsid w:val="00521B1D"/>
    <w:rsid w:val="00522F44"/>
    <w:rsid w:val="005241F3"/>
    <w:rsid w:val="00524255"/>
    <w:rsid w:val="005248E3"/>
    <w:rsid w:val="00524F16"/>
    <w:rsid w:val="00524F96"/>
    <w:rsid w:val="00525654"/>
    <w:rsid w:val="0052580C"/>
    <w:rsid w:val="00525A7D"/>
    <w:rsid w:val="00525F16"/>
    <w:rsid w:val="00526E2D"/>
    <w:rsid w:val="00527D48"/>
    <w:rsid w:val="00527FA2"/>
    <w:rsid w:val="0053028E"/>
    <w:rsid w:val="00530A73"/>
    <w:rsid w:val="0053156E"/>
    <w:rsid w:val="00532985"/>
    <w:rsid w:val="005340B1"/>
    <w:rsid w:val="005344CF"/>
    <w:rsid w:val="00534D02"/>
    <w:rsid w:val="00534E9E"/>
    <w:rsid w:val="0053520F"/>
    <w:rsid w:val="005353BB"/>
    <w:rsid w:val="0053563C"/>
    <w:rsid w:val="00537367"/>
    <w:rsid w:val="00540C95"/>
    <w:rsid w:val="00541351"/>
    <w:rsid w:val="0054190D"/>
    <w:rsid w:val="00543A03"/>
    <w:rsid w:val="00543F5B"/>
    <w:rsid w:val="0054431D"/>
    <w:rsid w:val="0054464C"/>
    <w:rsid w:val="0054465A"/>
    <w:rsid w:val="00545A37"/>
    <w:rsid w:val="00546F52"/>
    <w:rsid w:val="0054728A"/>
    <w:rsid w:val="0055031F"/>
    <w:rsid w:val="00551153"/>
    <w:rsid w:val="005531B7"/>
    <w:rsid w:val="00553341"/>
    <w:rsid w:val="00553FE0"/>
    <w:rsid w:val="00554124"/>
    <w:rsid w:val="005543DB"/>
    <w:rsid w:val="0055544D"/>
    <w:rsid w:val="00555E90"/>
    <w:rsid w:val="00555ECC"/>
    <w:rsid w:val="00555EF1"/>
    <w:rsid w:val="00555FE7"/>
    <w:rsid w:val="00556421"/>
    <w:rsid w:val="00556442"/>
    <w:rsid w:val="00556725"/>
    <w:rsid w:val="005568FA"/>
    <w:rsid w:val="00557338"/>
    <w:rsid w:val="00560B84"/>
    <w:rsid w:val="00560CEF"/>
    <w:rsid w:val="00560D69"/>
    <w:rsid w:val="00561BDA"/>
    <w:rsid w:val="00563029"/>
    <w:rsid w:val="00566E53"/>
    <w:rsid w:val="0056724D"/>
    <w:rsid w:val="00567265"/>
    <w:rsid w:val="005676BD"/>
    <w:rsid w:val="00570937"/>
    <w:rsid w:val="005714B8"/>
    <w:rsid w:val="00571727"/>
    <w:rsid w:val="0057322C"/>
    <w:rsid w:val="00573716"/>
    <w:rsid w:val="005740C1"/>
    <w:rsid w:val="0057476C"/>
    <w:rsid w:val="005748FE"/>
    <w:rsid w:val="0057508A"/>
    <w:rsid w:val="0057514C"/>
    <w:rsid w:val="00576354"/>
    <w:rsid w:val="00576D93"/>
    <w:rsid w:val="0057721E"/>
    <w:rsid w:val="00577D6B"/>
    <w:rsid w:val="005805FC"/>
    <w:rsid w:val="00581E44"/>
    <w:rsid w:val="005825D0"/>
    <w:rsid w:val="005842AD"/>
    <w:rsid w:val="00584EF8"/>
    <w:rsid w:val="005851B1"/>
    <w:rsid w:val="005859E8"/>
    <w:rsid w:val="005876A6"/>
    <w:rsid w:val="00587AAE"/>
    <w:rsid w:val="00587FA6"/>
    <w:rsid w:val="00590083"/>
    <w:rsid w:val="0059061A"/>
    <w:rsid w:val="0059436A"/>
    <w:rsid w:val="0059546B"/>
    <w:rsid w:val="00595AC9"/>
    <w:rsid w:val="00596C59"/>
    <w:rsid w:val="00596DE3"/>
    <w:rsid w:val="00597560"/>
    <w:rsid w:val="005A2004"/>
    <w:rsid w:val="005A23E0"/>
    <w:rsid w:val="005A2F31"/>
    <w:rsid w:val="005A2FDC"/>
    <w:rsid w:val="005A3466"/>
    <w:rsid w:val="005A36D5"/>
    <w:rsid w:val="005A3B08"/>
    <w:rsid w:val="005A4920"/>
    <w:rsid w:val="005A56F2"/>
    <w:rsid w:val="005A6A3C"/>
    <w:rsid w:val="005B0F07"/>
    <w:rsid w:val="005B0FF1"/>
    <w:rsid w:val="005B149C"/>
    <w:rsid w:val="005B14CC"/>
    <w:rsid w:val="005B58D7"/>
    <w:rsid w:val="005B6575"/>
    <w:rsid w:val="005C0D35"/>
    <w:rsid w:val="005C18A2"/>
    <w:rsid w:val="005C2EC0"/>
    <w:rsid w:val="005C31CA"/>
    <w:rsid w:val="005C417D"/>
    <w:rsid w:val="005C4834"/>
    <w:rsid w:val="005C4977"/>
    <w:rsid w:val="005C4F53"/>
    <w:rsid w:val="005C5309"/>
    <w:rsid w:val="005C5FC7"/>
    <w:rsid w:val="005C6416"/>
    <w:rsid w:val="005C7622"/>
    <w:rsid w:val="005C7B2A"/>
    <w:rsid w:val="005C7BD2"/>
    <w:rsid w:val="005D065C"/>
    <w:rsid w:val="005D0774"/>
    <w:rsid w:val="005D0E53"/>
    <w:rsid w:val="005D36FA"/>
    <w:rsid w:val="005D3E5C"/>
    <w:rsid w:val="005D42D2"/>
    <w:rsid w:val="005D4F68"/>
    <w:rsid w:val="005D5E99"/>
    <w:rsid w:val="005D6247"/>
    <w:rsid w:val="005D6B5B"/>
    <w:rsid w:val="005D7109"/>
    <w:rsid w:val="005D7B50"/>
    <w:rsid w:val="005D7E2C"/>
    <w:rsid w:val="005E03C0"/>
    <w:rsid w:val="005E042F"/>
    <w:rsid w:val="005E0AEE"/>
    <w:rsid w:val="005E1436"/>
    <w:rsid w:val="005E225E"/>
    <w:rsid w:val="005E24DA"/>
    <w:rsid w:val="005E2B25"/>
    <w:rsid w:val="005E3476"/>
    <w:rsid w:val="005E3B08"/>
    <w:rsid w:val="005E446A"/>
    <w:rsid w:val="005E4945"/>
    <w:rsid w:val="005E6500"/>
    <w:rsid w:val="005E6D63"/>
    <w:rsid w:val="005E6F0D"/>
    <w:rsid w:val="005E75AF"/>
    <w:rsid w:val="005F08EE"/>
    <w:rsid w:val="005F20E5"/>
    <w:rsid w:val="005F2756"/>
    <w:rsid w:val="005F2D88"/>
    <w:rsid w:val="005F3F0C"/>
    <w:rsid w:val="005F3F84"/>
    <w:rsid w:val="005F42E7"/>
    <w:rsid w:val="005F4D5B"/>
    <w:rsid w:val="005F4F3D"/>
    <w:rsid w:val="005F5029"/>
    <w:rsid w:val="005F5F86"/>
    <w:rsid w:val="005F62AA"/>
    <w:rsid w:val="005F6381"/>
    <w:rsid w:val="005F6750"/>
    <w:rsid w:val="0060023A"/>
    <w:rsid w:val="00600E75"/>
    <w:rsid w:val="006017AD"/>
    <w:rsid w:val="006018F2"/>
    <w:rsid w:val="00602936"/>
    <w:rsid w:val="0060306F"/>
    <w:rsid w:val="00603472"/>
    <w:rsid w:val="006038D8"/>
    <w:rsid w:val="0060391E"/>
    <w:rsid w:val="006048B2"/>
    <w:rsid w:val="00604BFC"/>
    <w:rsid w:val="006066EA"/>
    <w:rsid w:val="00606F07"/>
    <w:rsid w:val="006071EB"/>
    <w:rsid w:val="006100EB"/>
    <w:rsid w:val="00610319"/>
    <w:rsid w:val="0061066E"/>
    <w:rsid w:val="00610E9F"/>
    <w:rsid w:val="00611234"/>
    <w:rsid w:val="00612405"/>
    <w:rsid w:val="00612A71"/>
    <w:rsid w:val="00614799"/>
    <w:rsid w:val="0061515A"/>
    <w:rsid w:val="00615208"/>
    <w:rsid w:val="006154B5"/>
    <w:rsid w:val="00616D74"/>
    <w:rsid w:val="006209CD"/>
    <w:rsid w:val="006219FB"/>
    <w:rsid w:val="00622D32"/>
    <w:rsid w:val="00622DD4"/>
    <w:rsid w:val="00622DE3"/>
    <w:rsid w:val="00623467"/>
    <w:rsid w:val="00623CB7"/>
    <w:rsid w:val="0062442B"/>
    <w:rsid w:val="00626391"/>
    <w:rsid w:val="00626565"/>
    <w:rsid w:val="0063043D"/>
    <w:rsid w:val="00631155"/>
    <w:rsid w:val="0063175D"/>
    <w:rsid w:val="0063300C"/>
    <w:rsid w:val="00633301"/>
    <w:rsid w:val="006336CC"/>
    <w:rsid w:val="00633A9F"/>
    <w:rsid w:val="006340C3"/>
    <w:rsid w:val="00634139"/>
    <w:rsid w:val="00636314"/>
    <w:rsid w:val="006366A6"/>
    <w:rsid w:val="00636824"/>
    <w:rsid w:val="00636CBB"/>
    <w:rsid w:val="0064008A"/>
    <w:rsid w:val="00642D02"/>
    <w:rsid w:val="00643836"/>
    <w:rsid w:val="00644D2D"/>
    <w:rsid w:val="006462B7"/>
    <w:rsid w:val="00650570"/>
    <w:rsid w:val="00650845"/>
    <w:rsid w:val="0065206F"/>
    <w:rsid w:val="00652B5C"/>
    <w:rsid w:val="00653242"/>
    <w:rsid w:val="006543DC"/>
    <w:rsid w:val="006549D2"/>
    <w:rsid w:val="00655127"/>
    <w:rsid w:val="0065749B"/>
    <w:rsid w:val="006575BA"/>
    <w:rsid w:val="00657B60"/>
    <w:rsid w:val="00661BDC"/>
    <w:rsid w:val="00662393"/>
    <w:rsid w:val="0066418E"/>
    <w:rsid w:val="006649D8"/>
    <w:rsid w:val="00664D98"/>
    <w:rsid w:val="00665349"/>
    <w:rsid w:val="006653F6"/>
    <w:rsid w:val="006655CE"/>
    <w:rsid w:val="00665783"/>
    <w:rsid w:val="00667E64"/>
    <w:rsid w:val="00671278"/>
    <w:rsid w:val="006716CB"/>
    <w:rsid w:val="0067180E"/>
    <w:rsid w:val="00671945"/>
    <w:rsid w:val="00671EB4"/>
    <w:rsid w:val="00672721"/>
    <w:rsid w:val="00673405"/>
    <w:rsid w:val="00674020"/>
    <w:rsid w:val="00674989"/>
    <w:rsid w:val="00676B18"/>
    <w:rsid w:val="00676DDD"/>
    <w:rsid w:val="00677F11"/>
    <w:rsid w:val="0068047C"/>
    <w:rsid w:val="00680E98"/>
    <w:rsid w:val="00681A4E"/>
    <w:rsid w:val="00681A53"/>
    <w:rsid w:val="00682482"/>
    <w:rsid w:val="00682718"/>
    <w:rsid w:val="00682B31"/>
    <w:rsid w:val="00682F32"/>
    <w:rsid w:val="00682FAC"/>
    <w:rsid w:val="00683F61"/>
    <w:rsid w:val="00686658"/>
    <w:rsid w:val="00686B53"/>
    <w:rsid w:val="00686C29"/>
    <w:rsid w:val="00686D2F"/>
    <w:rsid w:val="00690295"/>
    <w:rsid w:val="006912DF"/>
    <w:rsid w:val="006915CF"/>
    <w:rsid w:val="006924B1"/>
    <w:rsid w:val="006936D6"/>
    <w:rsid w:val="00694129"/>
    <w:rsid w:val="00694BE4"/>
    <w:rsid w:val="00694F6E"/>
    <w:rsid w:val="0069521E"/>
    <w:rsid w:val="0069562D"/>
    <w:rsid w:val="00695AD7"/>
    <w:rsid w:val="006970F4"/>
    <w:rsid w:val="006974A2"/>
    <w:rsid w:val="00697B61"/>
    <w:rsid w:val="006A06D6"/>
    <w:rsid w:val="006A0F06"/>
    <w:rsid w:val="006A208F"/>
    <w:rsid w:val="006A20C2"/>
    <w:rsid w:val="006A24BF"/>
    <w:rsid w:val="006A2BA4"/>
    <w:rsid w:val="006A3DD6"/>
    <w:rsid w:val="006A4582"/>
    <w:rsid w:val="006A4ADE"/>
    <w:rsid w:val="006A4ED9"/>
    <w:rsid w:val="006A5430"/>
    <w:rsid w:val="006A5905"/>
    <w:rsid w:val="006A5ACE"/>
    <w:rsid w:val="006A6073"/>
    <w:rsid w:val="006A67F3"/>
    <w:rsid w:val="006A68C1"/>
    <w:rsid w:val="006A6DEA"/>
    <w:rsid w:val="006A78FA"/>
    <w:rsid w:val="006A7FAD"/>
    <w:rsid w:val="006B06E3"/>
    <w:rsid w:val="006B079E"/>
    <w:rsid w:val="006B0A55"/>
    <w:rsid w:val="006B0CC0"/>
    <w:rsid w:val="006B0FBA"/>
    <w:rsid w:val="006B131F"/>
    <w:rsid w:val="006B19D4"/>
    <w:rsid w:val="006B1EC7"/>
    <w:rsid w:val="006B3717"/>
    <w:rsid w:val="006B3812"/>
    <w:rsid w:val="006B3E0C"/>
    <w:rsid w:val="006B48C7"/>
    <w:rsid w:val="006B50AE"/>
    <w:rsid w:val="006B5A48"/>
    <w:rsid w:val="006B67EB"/>
    <w:rsid w:val="006B67EF"/>
    <w:rsid w:val="006B7DFC"/>
    <w:rsid w:val="006C0162"/>
    <w:rsid w:val="006C1CC3"/>
    <w:rsid w:val="006C2450"/>
    <w:rsid w:val="006C2DA1"/>
    <w:rsid w:val="006C304B"/>
    <w:rsid w:val="006C35EA"/>
    <w:rsid w:val="006C396E"/>
    <w:rsid w:val="006C42DC"/>
    <w:rsid w:val="006C4715"/>
    <w:rsid w:val="006C4C20"/>
    <w:rsid w:val="006C4D47"/>
    <w:rsid w:val="006C5EC5"/>
    <w:rsid w:val="006C6F35"/>
    <w:rsid w:val="006C7B84"/>
    <w:rsid w:val="006D20B6"/>
    <w:rsid w:val="006D20C6"/>
    <w:rsid w:val="006D2190"/>
    <w:rsid w:val="006D343C"/>
    <w:rsid w:val="006D3955"/>
    <w:rsid w:val="006D48F1"/>
    <w:rsid w:val="006D4F2A"/>
    <w:rsid w:val="006D589E"/>
    <w:rsid w:val="006D5B86"/>
    <w:rsid w:val="006D6301"/>
    <w:rsid w:val="006D67F2"/>
    <w:rsid w:val="006D734B"/>
    <w:rsid w:val="006E0E16"/>
    <w:rsid w:val="006E3379"/>
    <w:rsid w:val="006E3CEA"/>
    <w:rsid w:val="006E3D80"/>
    <w:rsid w:val="006E45D9"/>
    <w:rsid w:val="006E4D45"/>
    <w:rsid w:val="006E4F37"/>
    <w:rsid w:val="006E5290"/>
    <w:rsid w:val="006E5A6C"/>
    <w:rsid w:val="006E5AA5"/>
    <w:rsid w:val="006E5C6F"/>
    <w:rsid w:val="006E66E0"/>
    <w:rsid w:val="006E6F80"/>
    <w:rsid w:val="006E7E1C"/>
    <w:rsid w:val="006F0291"/>
    <w:rsid w:val="006F16F6"/>
    <w:rsid w:val="006F1869"/>
    <w:rsid w:val="006F1945"/>
    <w:rsid w:val="006F1AFE"/>
    <w:rsid w:val="006F3E63"/>
    <w:rsid w:val="006F5375"/>
    <w:rsid w:val="006F5D17"/>
    <w:rsid w:val="006F6F71"/>
    <w:rsid w:val="006F7E50"/>
    <w:rsid w:val="007001CB"/>
    <w:rsid w:val="00700460"/>
    <w:rsid w:val="007009BC"/>
    <w:rsid w:val="00700ABF"/>
    <w:rsid w:val="007014FB"/>
    <w:rsid w:val="00701664"/>
    <w:rsid w:val="00702466"/>
    <w:rsid w:val="00704123"/>
    <w:rsid w:val="007044D4"/>
    <w:rsid w:val="00704DF0"/>
    <w:rsid w:val="00705E33"/>
    <w:rsid w:val="00710492"/>
    <w:rsid w:val="007106BA"/>
    <w:rsid w:val="00710855"/>
    <w:rsid w:val="0071099F"/>
    <w:rsid w:val="00710B54"/>
    <w:rsid w:val="00710CFA"/>
    <w:rsid w:val="00712108"/>
    <w:rsid w:val="00712299"/>
    <w:rsid w:val="00712A4B"/>
    <w:rsid w:val="007130BC"/>
    <w:rsid w:val="00713755"/>
    <w:rsid w:val="0071424E"/>
    <w:rsid w:val="00715F00"/>
    <w:rsid w:val="007174DD"/>
    <w:rsid w:val="007179B5"/>
    <w:rsid w:val="007221B9"/>
    <w:rsid w:val="00722602"/>
    <w:rsid w:val="00722A35"/>
    <w:rsid w:val="00723684"/>
    <w:rsid w:val="00723D5C"/>
    <w:rsid w:val="0072454E"/>
    <w:rsid w:val="00724DDE"/>
    <w:rsid w:val="007261D7"/>
    <w:rsid w:val="007270FB"/>
    <w:rsid w:val="0072782D"/>
    <w:rsid w:val="00727AA7"/>
    <w:rsid w:val="00730B6F"/>
    <w:rsid w:val="0073209E"/>
    <w:rsid w:val="00732438"/>
    <w:rsid w:val="00732CEC"/>
    <w:rsid w:val="00733AE5"/>
    <w:rsid w:val="0073427A"/>
    <w:rsid w:val="00734404"/>
    <w:rsid w:val="0073455F"/>
    <w:rsid w:val="00734C60"/>
    <w:rsid w:val="00734F92"/>
    <w:rsid w:val="00736641"/>
    <w:rsid w:val="0073782B"/>
    <w:rsid w:val="0073788A"/>
    <w:rsid w:val="007379A9"/>
    <w:rsid w:val="00741DE4"/>
    <w:rsid w:val="00742295"/>
    <w:rsid w:val="00742EA3"/>
    <w:rsid w:val="00743A7F"/>
    <w:rsid w:val="00743C5B"/>
    <w:rsid w:val="00744BE8"/>
    <w:rsid w:val="0074519F"/>
    <w:rsid w:val="0074540A"/>
    <w:rsid w:val="00745E09"/>
    <w:rsid w:val="0074655D"/>
    <w:rsid w:val="00746930"/>
    <w:rsid w:val="00746F8C"/>
    <w:rsid w:val="0074772E"/>
    <w:rsid w:val="00750B9F"/>
    <w:rsid w:val="0075263E"/>
    <w:rsid w:val="007533CC"/>
    <w:rsid w:val="00754A1B"/>
    <w:rsid w:val="00754AD5"/>
    <w:rsid w:val="00755178"/>
    <w:rsid w:val="007553ED"/>
    <w:rsid w:val="00760C94"/>
    <w:rsid w:val="00761354"/>
    <w:rsid w:val="0076187B"/>
    <w:rsid w:val="00762E98"/>
    <w:rsid w:val="007638EB"/>
    <w:rsid w:val="00766559"/>
    <w:rsid w:val="007666BA"/>
    <w:rsid w:val="0077049A"/>
    <w:rsid w:val="00770AD8"/>
    <w:rsid w:val="00771C90"/>
    <w:rsid w:val="007723CE"/>
    <w:rsid w:val="007737E0"/>
    <w:rsid w:val="00773C72"/>
    <w:rsid w:val="00774A6C"/>
    <w:rsid w:val="00774B9F"/>
    <w:rsid w:val="00774C88"/>
    <w:rsid w:val="00774CEF"/>
    <w:rsid w:val="007757BA"/>
    <w:rsid w:val="00777DD5"/>
    <w:rsid w:val="00777E71"/>
    <w:rsid w:val="0078077D"/>
    <w:rsid w:val="00780B68"/>
    <w:rsid w:val="00780B6C"/>
    <w:rsid w:val="00780CAE"/>
    <w:rsid w:val="00780E9B"/>
    <w:rsid w:val="00782851"/>
    <w:rsid w:val="00782856"/>
    <w:rsid w:val="007836ED"/>
    <w:rsid w:val="00785EA1"/>
    <w:rsid w:val="00786046"/>
    <w:rsid w:val="007863CC"/>
    <w:rsid w:val="00786A84"/>
    <w:rsid w:val="00786BD3"/>
    <w:rsid w:val="007879FA"/>
    <w:rsid w:val="0079034F"/>
    <w:rsid w:val="007909D0"/>
    <w:rsid w:val="007917FB"/>
    <w:rsid w:val="00791953"/>
    <w:rsid w:val="00791D1D"/>
    <w:rsid w:val="007921AD"/>
    <w:rsid w:val="00792F44"/>
    <w:rsid w:val="0079324E"/>
    <w:rsid w:val="007949DA"/>
    <w:rsid w:val="007952D4"/>
    <w:rsid w:val="00796054"/>
    <w:rsid w:val="007964C6"/>
    <w:rsid w:val="00796578"/>
    <w:rsid w:val="0079675C"/>
    <w:rsid w:val="00797165"/>
    <w:rsid w:val="0079761E"/>
    <w:rsid w:val="00797881"/>
    <w:rsid w:val="00797F0E"/>
    <w:rsid w:val="007A084D"/>
    <w:rsid w:val="007A3AD0"/>
    <w:rsid w:val="007A41A4"/>
    <w:rsid w:val="007A452D"/>
    <w:rsid w:val="007A4E3A"/>
    <w:rsid w:val="007A657F"/>
    <w:rsid w:val="007A685F"/>
    <w:rsid w:val="007A6953"/>
    <w:rsid w:val="007A71F0"/>
    <w:rsid w:val="007A78B1"/>
    <w:rsid w:val="007B0A83"/>
    <w:rsid w:val="007B172B"/>
    <w:rsid w:val="007B2FE0"/>
    <w:rsid w:val="007B3432"/>
    <w:rsid w:val="007B3BB6"/>
    <w:rsid w:val="007B464B"/>
    <w:rsid w:val="007B57EB"/>
    <w:rsid w:val="007B58B1"/>
    <w:rsid w:val="007B6633"/>
    <w:rsid w:val="007B6BEB"/>
    <w:rsid w:val="007B6C43"/>
    <w:rsid w:val="007B724C"/>
    <w:rsid w:val="007B7D0C"/>
    <w:rsid w:val="007B7FAD"/>
    <w:rsid w:val="007C0F53"/>
    <w:rsid w:val="007C0F7B"/>
    <w:rsid w:val="007C1F20"/>
    <w:rsid w:val="007C2898"/>
    <w:rsid w:val="007C4603"/>
    <w:rsid w:val="007C5FEB"/>
    <w:rsid w:val="007D071F"/>
    <w:rsid w:val="007D094B"/>
    <w:rsid w:val="007D203B"/>
    <w:rsid w:val="007D336D"/>
    <w:rsid w:val="007D3E0D"/>
    <w:rsid w:val="007D4444"/>
    <w:rsid w:val="007D487F"/>
    <w:rsid w:val="007D5719"/>
    <w:rsid w:val="007D5A5A"/>
    <w:rsid w:val="007D636F"/>
    <w:rsid w:val="007D664C"/>
    <w:rsid w:val="007D7B2B"/>
    <w:rsid w:val="007E152F"/>
    <w:rsid w:val="007E2956"/>
    <w:rsid w:val="007E2A50"/>
    <w:rsid w:val="007E3337"/>
    <w:rsid w:val="007E3F90"/>
    <w:rsid w:val="007E4008"/>
    <w:rsid w:val="007E446F"/>
    <w:rsid w:val="007E47B9"/>
    <w:rsid w:val="007E5C69"/>
    <w:rsid w:val="007E5E30"/>
    <w:rsid w:val="007E6A9E"/>
    <w:rsid w:val="007E7CE9"/>
    <w:rsid w:val="007F1FB3"/>
    <w:rsid w:val="007F25C8"/>
    <w:rsid w:val="007F3748"/>
    <w:rsid w:val="007F3D40"/>
    <w:rsid w:val="007F551A"/>
    <w:rsid w:val="007F78DE"/>
    <w:rsid w:val="007F7CBB"/>
    <w:rsid w:val="007F7D9D"/>
    <w:rsid w:val="00800CA9"/>
    <w:rsid w:val="00802103"/>
    <w:rsid w:val="00804007"/>
    <w:rsid w:val="00804065"/>
    <w:rsid w:val="0080483F"/>
    <w:rsid w:val="008057A3"/>
    <w:rsid w:val="00806656"/>
    <w:rsid w:val="00806F10"/>
    <w:rsid w:val="00807296"/>
    <w:rsid w:val="008075B7"/>
    <w:rsid w:val="00807A9F"/>
    <w:rsid w:val="008104BA"/>
    <w:rsid w:val="00810DCF"/>
    <w:rsid w:val="008116A1"/>
    <w:rsid w:val="00811DD3"/>
    <w:rsid w:val="008141BC"/>
    <w:rsid w:val="008143B8"/>
    <w:rsid w:val="008151B5"/>
    <w:rsid w:val="00816478"/>
    <w:rsid w:val="00816BE4"/>
    <w:rsid w:val="0081767E"/>
    <w:rsid w:val="00817FD4"/>
    <w:rsid w:val="00820B0B"/>
    <w:rsid w:val="00821204"/>
    <w:rsid w:val="00821ADD"/>
    <w:rsid w:val="008230F2"/>
    <w:rsid w:val="00823458"/>
    <w:rsid w:val="008244FC"/>
    <w:rsid w:val="008255F6"/>
    <w:rsid w:val="008258BD"/>
    <w:rsid w:val="00826EB2"/>
    <w:rsid w:val="00827860"/>
    <w:rsid w:val="00830715"/>
    <w:rsid w:val="00832081"/>
    <w:rsid w:val="00832BEB"/>
    <w:rsid w:val="00832D5D"/>
    <w:rsid w:val="0083534D"/>
    <w:rsid w:val="00837546"/>
    <w:rsid w:val="00837CE2"/>
    <w:rsid w:val="00840D4B"/>
    <w:rsid w:val="00841551"/>
    <w:rsid w:val="008418E4"/>
    <w:rsid w:val="00841EB0"/>
    <w:rsid w:val="00842279"/>
    <w:rsid w:val="00843008"/>
    <w:rsid w:val="008431D4"/>
    <w:rsid w:val="008435F3"/>
    <w:rsid w:val="00843722"/>
    <w:rsid w:val="008442F1"/>
    <w:rsid w:val="00844584"/>
    <w:rsid w:val="00844C1C"/>
    <w:rsid w:val="0084774C"/>
    <w:rsid w:val="008477F0"/>
    <w:rsid w:val="008506A0"/>
    <w:rsid w:val="0085124D"/>
    <w:rsid w:val="00851579"/>
    <w:rsid w:val="00852883"/>
    <w:rsid w:val="008529A4"/>
    <w:rsid w:val="00852EF4"/>
    <w:rsid w:val="008530B1"/>
    <w:rsid w:val="008540CF"/>
    <w:rsid w:val="008554AA"/>
    <w:rsid w:val="008565C6"/>
    <w:rsid w:val="008568B6"/>
    <w:rsid w:val="00856FE3"/>
    <w:rsid w:val="0085767E"/>
    <w:rsid w:val="0086049C"/>
    <w:rsid w:val="00862399"/>
    <w:rsid w:val="00863B0B"/>
    <w:rsid w:val="00864035"/>
    <w:rsid w:val="008647B7"/>
    <w:rsid w:val="00865863"/>
    <w:rsid w:val="008666BE"/>
    <w:rsid w:val="008675D8"/>
    <w:rsid w:val="00867EC3"/>
    <w:rsid w:val="00870BA1"/>
    <w:rsid w:val="0087188F"/>
    <w:rsid w:val="00871A3B"/>
    <w:rsid w:val="00872E1D"/>
    <w:rsid w:val="008730FC"/>
    <w:rsid w:val="0087401C"/>
    <w:rsid w:val="00875076"/>
    <w:rsid w:val="0087592B"/>
    <w:rsid w:val="00875E3D"/>
    <w:rsid w:val="00876858"/>
    <w:rsid w:val="00876D50"/>
    <w:rsid w:val="00876DBF"/>
    <w:rsid w:val="00877522"/>
    <w:rsid w:val="00877527"/>
    <w:rsid w:val="0087771F"/>
    <w:rsid w:val="008808A6"/>
    <w:rsid w:val="0088109B"/>
    <w:rsid w:val="0088173C"/>
    <w:rsid w:val="00882333"/>
    <w:rsid w:val="00882723"/>
    <w:rsid w:val="00882A58"/>
    <w:rsid w:val="00882C22"/>
    <w:rsid w:val="00883868"/>
    <w:rsid w:val="00884631"/>
    <w:rsid w:val="0088685D"/>
    <w:rsid w:val="0088755B"/>
    <w:rsid w:val="00891D4F"/>
    <w:rsid w:val="008923BE"/>
    <w:rsid w:val="00893361"/>
    <w:rsid w:val="00894F10"/>
    <w:rsid w:val="00895BCA"/>
    <w:rsid w:val="00895F4A"/>
    <w:rsid w:val="008962AE"/>
    <w:rsid w:val="00896628"/>
    <w:rsid w:val="008A0809"/>
    <w:rsid w:val="008A08E1"/>
    <w:rsid w:val="008A1342"/>
    <w:rsid w:val="008A1B9A"/>
    <w:rsid w:val="008A242B"/>
    <w:rsid w:val="008A3AE0"/>
    <w:rsid w:val="008A3E11"/>
    <w:rsid w:val="008A62A9"/>
    <w:rsid w:val="008A68CC"/>
    <w:rsid w:val="008A7942"/>
    <w:rsid w:val="008B0169"/>
    <w:rsid w:val="008B03E9"/>
    <w:rsid w:val="008B1207"/>
    <w:rsid w:val="008B1CF0"/>
    <w:rsid w:val="008B4375"/>
    <w:rsid w:val="008C1E07"/>
    <w:rsid w:val="008C216D"/>
    <w:rsid w:val="008C2587"/>
    <w:rsid w:val="008C2620"/>
    <w:rsid w:val="008C3907"/>
    <w:rsid w:val="008C431A"/>
    <w:rsid w:val="008C5E06"/>
    <w:rsid w:val="008C672D"/>
    <w:rsid w:val="008C7115"/>
    <w:rsid w:val="008D1344"/>
    <w:rsid w:val="008D23FF"/>
    <w:rsid w:val="008D36D0"/>
    <w:rsid w:val="008D3F20"/>
    <w:rsid w:val="008D42B7"/>
    <w:rsid w:val="008D5100"/>
    <w:rsid w:val="008D5598"/>
    <w:rsid w:val="008D602A"/>
    <w:rsid w:val="008D66FC"/>
    <w:rsid w:val="008D6B94"/>
    <w:rsid w:val="008D7BD6"/>
    <w:rsid w:val="008E064F"/>
    <w:rsid w:val="008E1E56"/>
    <w:rsid w:val="008E2888"/>
    <w:rsid w:val="008E4029"/>
    <w:rsid w:val="008E5527"/>
    <w:rsid w:val="008E59E3"/>
    <w:rsid w:val="008E5EB9"/>
    <w:rsid w:val="008E6232"/>
    <w:rsid w:val="008E6F13"/>
    <w:rsid w:val="008E6F17"/>
    <w:rsid w:val="008E7CB5"/>
    <w:rsid w:val="008F00A5"/>
    <w:rsid w:val="008F0191"/>
    <w:rsid w:val="008F02D3"/>
    <w:rsid w:val="008F0376"/>
    <w:rsid w:val="008F12D4"/>
    <w:rsid w:val="008F253C"/>
    <w:rsid w:val="008F3286"/>
    <w:rsid w:val="008F3E3F"/>
    <w:rsid w:val="008F4228"/>
    <w:rsid w:val="008F42F3"/>
    <w:rsid w:val="008F546D"/>
    <w:rsid w:val="008F7B30"/>
    <w:rsid w:val="008F7D6E"/>
    <w:rsid w:val="009003F6"/>
    <w:rsid w:val="00900985"/>
    <w:rsid w:val="009010A3"/>
    <w:rsid w:val="00901239"/>
    <w:rsid w:val="00904194"/>
    <w:rsid w:val="009056B0"/>
    <w:rsid w:val="0090592F"/>
    <w:rsid w:val="00905ED8"/>
    <w:rsid w:val="009068A3"/>
    <w:rsid w:val="00906E49"/>
    <w:rsid w:val="009113CA"/>
    <w:rsid w:val="00911876"/>
    <w:rsid w:val="00911DA1"/>
    <w:rsid w:val="00912D74"/>
    <w:rsid w:val="009136E3"/>
    <w:rsid w:val="009137FC"/>
    <w:rsid w:val="009163A7"/>
    <w:rsid w:val="009163AD"/>
    <w:rsid w:val="00916492"/>
    <w:rsid w:val="00916A80"/>
    <w:rsid w:val="00917467"/>
    <w:rsid w:val="0091753E"/>
    <w:rsid w:val="00920598"/>
    <w:rsid w:val="00920CBA"/>
    <w:rsid w:val="00920D35"/>
    <w:rsid w:val="00921015"/>
    <w:rsid w:val="009226EB"/>
    <w:rsid w:val="009232B1"/>
    <w:rsid w:val="00923E1B"/>
    <w:rsid w:val="0092449B"/>
    <w:rsid w:val="00924541"/>
    <w:rsid w:val="009245E6"/>
    <w:rsid w:val="00924C42"/>
    <w:rsid w:val="00925B84"/>
    <w:rsid w:val="00925CE7"/>
    <w:rsid w:val="00926A1C"/>
    <w:rsid w:val="00926EE1"/>
    <w:rsid w:val="00926EEA"/>
    <w:rsid w:val="0092740A"/>
    <w:rsid w:val="00927872"/>
    <w:rsid w:val="00927CA8"/>
    <w:rsid w:val="00930638"/>
    <w:rsid w:val="00930F89"/>
    <w:rsid w:val="0093157E"/>
    <w:rsid w:val="009318E3"/>
    <w:rsid w:val="00931939"/>
    <w:rsid w:val="009319D7"/>
    <w:rsid w:val="00931AA9"/>
    <w:rsid w:val="00931C72"/>
    <w:rsid w:val="00932D1A"/>
    <w:rsid w:val="00933525"/>
    <w:rsid w:val="00934A6D"/>
    <w:rsid w:val="009356D3"/>
    <w:rsid w:val="00935E17"/>
    <w:rsid w:val="0093687A"/>
    <w:rsid w:val="00937BF0"/>
    <w:rsid w:val="009400FD"/>
    <w:rsid w:val="00940FDE"/>
    <w:rsid w:val="00941053"/>
    <w:rsid w:val="00941B03"/>
    <w:rsid w:val="0094211D"/>
    <w:rsid w:val="009428CA"/>
    <w:rsid w:val="0094317A"/>
    <w:rsid w:val="00943575"/>
    <w:rsid w:val="009436A5"/>
    <w:rsid w:val="00944301"/>
    <w:rsid w:val="0094433F"/>
    <w:rsid w:val="00947180"/>
    <w:rsid w:val="00947B39"/>
    <w:rsid w:val="00947F55"/>
    <w:rsid w:val="00950557"/>
    <w:rsid w:val="009529DF"/>
    <w:rsid w:val="00952CC7"/>
    <w:rsid w:val="009534D8"/>
    <w:rsid w:val="00954176"/>
    <w:rsid w:val="0095468A"/>
    <w:rsid w:val="009547A7"/>
    <w:rsid w:val="00956D66"/>
    <w:rsid w:val="0095728F"/>
    <w:rsid w:val="00957596"/>
    <w:rsid w:val="0096007E"/>
    <w:rsid w:val="0096027A"/>
    <w:rsid w:val="0096114F"/>
    <w:rsid w:val="0096273C"/>
    <w:rsid w:val="0096345D"/>
    <w:rsid w:val="00964BF2"/>
    <w:rsid w:val="00965214"/>
    <w:rsid w:val="00966298"/>
    <w:rsid w:val="009665CA"/>
    <w:rsid w:val="0096661C"/>
    <w:rsid w:val="00966B8C"/>
    <w:rsid w:val="00966D21"/>
    <w:rsid w:val="00967AA7"/>
    <w:rsid w:val="00967B7D"/>
    <w:rsid w:val="00973536"/>
    <w:rsid w:val="0097373F"/>
    <w:rsid w:val="00974366"/>
    <w:rsid w:val="00974CAA"/>
    <w:rsid w:val="00974F07"/>
    <w:rsid w:val="00975AA1"/>
    <w:rsid w:val="009768E9"/>
    <w:rsid w:val="00976B7D"/>
    <w:rsid w:val="00981800"/>
    <w:rsid w:val="00981948"/>
    <w:rsid w:val="00981C55"/>
    <w:rsid w:val="00982392"/>
    <w:rsid w:val="00983CDB"/>
    <w:rsid w:val="00983FDF"/>
    <w:rsid w:val="0098422F"/>
    <w:rsid w:val="0098482D"/>
    <w:rsid w:val="00984BF3"/>
    <w:rsid w:val="009850D3"/>
    <w:rsid w:val="00985691"/>
    <w:rsid w:val="0098611C"/>
    <w:rsid w:val="00986A6F"/>
    <w:rsid w:val="00991728"/>
    <w:rsid w:val="00992893"/>
    <w:rsid w:val="00992B7E"/>
    <w:rsid w:val="009931CD"/>
    <w:rsid w:val="0099416C"/>
    <w:rsid w:val="00994999"/>
    <w:rsid w:val="00994C1D"/>
    <w:rsid w:val="00994D9D"/>
    <w:rsid w:val="009950F4"/>
    <w:rsid w:val="00996BAA"/>
    <w:rsid w:val="00996DF8"/>
    <w:rsid w:val="00996E76"/>
    <w:rsid w:val="00996FBF"/>
    <w:rsid w:val="009A1259"/>
    <w:rsid w:val="009A13B6"/>
    <w:rsid w:val="009A1C42"/>
    <w:rsid w:val="009A2470"/>
    <w:rsid w:val="009A2EE6"/>
    <w:rsid w:val="009A36BA"/>
    <w:rsid w:val="009A43E9"/>
    <w:rsid w:val="009A4AFE"/>
    <w:rsid w:val="009A4BA3"/>
    <w:rsid w:val="009A5111"/>
    <w:rsid w:val="009A7BBD"/>
    <w:rsid w:val="009B175A"/>
    <w:rsid w:val="009B18A5"/>
    <w:rsid w:val="009B29F4"/>
    <w:rsid w:val="009B3294"/>
    <w:rsid w:val="009B415D"/>
    <w:rsid w:val="009B4DAB"/>
    <w:rsid w:val="009B5329"/>
    <w:rsid w:val="009B56AD"/>
    <w:rsid w:val="009B772C"/>
    <w:rsid w:val="009C02F1"/>
    <w:rsid w:val="009C0625"/>
    <w:rsid w:val="009C1874"/>
    <w:rsid w:val="009C1C1F"/>
    <w:rsid w:val="009C2153"/>
    <w:rsid w:val="009C31F3"/>
    <w:rsid w:val="009C3DD1"/>
    <w:rsid w:val="009C4EBD"/>
    <w:rsid w:val="009C502F"/>
    <w:rsid w:val="009C62A2"/>
    <w:rsid w:val="009C645E"/>
    <w:rsid w:val="009C7374"/>
    <w:rsid w:val="009C737F"/>
    <w:rsid w:val="009C78F8"/>
    <w:rsid w:val="009D00E6"/>
    <w:rsid w:val="009D0A05"/>
    <w:rsid w:val="009D0FC7"/>
    <w:rsid w:val="009D155B"/>
    <w:rsid w:val="009D2443"/>
    <w:rsid w:val="009D24CE"/>
    <w:rsid w:val="009D4165"/>
    <w:rsid w:val="009D4E3D"/>
    <w:rsid w:val="009D5B18"/>
    <w:rsid w:val="009D5C4F"/>
    <w:rsid w:val="009D5E7D"/>
    <w:rsid w:val="009D6A62"/>
    <w:rsid w:val="009D75E5"/>
    <w:rsid w:val="009D769A"/>
    <w:rsid w:val="009E08D4"/>
    <w:rsid w:val="009E0ADB"/>
    <w:rsid w:val="009E1528"/>
    <w:rsid w:val="009E1FD2"/>
    <w:rsid w:val="009E1FF2"/>
    <w:rsid w:val="009E2273"/>
    <w:rsid w:val="009E2832"/>
    <w:rsid w:val="009E4E98"/>
    <w:rsid w:val="009E515C"/>
    <w:rsid w:val="009E5FBB"/>
    <w:rsid w:val="009E63FA"/>
    <w:rsid w:val="009E6894"/>
    <w:rsid w:val="009E7EA6"/>
    <w:rsid w:val="009F111B"/>
    <w:rsid w:val="009F163C"/>
    <w:rsid w:val="009F1ECA"/>
    <w:rsid w:val="009F2D6B"/>
    <w:rsid w:val="009F2FF8"/>
    <w:rsid w:val="009F3C2E"/>
    <w:rsid w:val="009F3FB8"/>
    <w:rsid w:val="009F5CB7"/>
    <w:rsid w:val="009F680B"/>
    <w:rsid w:val="009F75CD"/>
    <w:rsid w:val="009F788A"/>
    <w:rsid w:val="00A00013"/>
    <w:rsid w:val="00A00A0B"/>
    <w:rsid w:val="00A01128"/>
    <w:rsid w:val="00A01A22"/>
    <w:rsid w:val="00A020E8"/>
    <w:rsid w:val="00A0227E"/>
    <w:rsid w:val="00A02751"/>
    <w:rsid w:val="00A02975"/>
    <w:rsid w:val="00A03E79"/>
    <w:rsid w:val="00A047B9"/>
    <w:rsid w:val="00A05934"/>
    <w:rsid w:val="00A05AD8"/>
    <w:rsid w:val="00A0776A"/>
    <w:rsid w:val="00A10A3C"/>
    <w:rsid w:val="00A121F6"/>
    <w:rsid w:val="00A13A74"/>
    <w:rsid w:val="00A15AB7"/>
    <w:rsid w:val="00A15F97"/>
    <w:rsid w:val="00A1695A"/>
    <w:rsid w:val="00A173B1"/>
    <w:rsid w:val="00A176B3"/>
    <w:rsid w:val="00A17A6C"/>
    <w:rsid w:val="00A2033A"/>
    <w:rsid w:val="00A20A73"/>
    <w:rsid w:val="00A20AED"/>
    <w:rsid w:val="00A20D5C"/>
    <w:rsid w:val="00A21E0B"/>
    <w:rsid w:val="00A22864"/>
    <w:rsid w:val="00A24A81"/>
    <w:rsid w:val="00A24CA2"/>
    <w:rsid w:val="00A25793"/>
    <w:rsid w:val="00A25ABF"/>
    <w:rsid w:val="00A25B18"/>
    <w:rsid w:val="00A26DC2"/>
    <w:rsid w:val="00A30866"/>
    <w:rsid w:val="00A31444"/>
    <w:rsid w:val="00A3190B"/>
    <w:rsid w:val="00A31C65"/>
    <w:rsid w:val="00A328A3"/>
    <w:rsid w:val="00A33B0A"/>
    <w:rsid w:val="00A33D5B"/>
    <w:rsid w:val="00A33D9C"/>
    <w:rsid w:val="00A347B1"/>
    <w:rsid w:val="00A34831"/>
    <w:rsid w:val="00A348D1"/>
    <w:rsid w:val="00A367A7"/>
    <w:rsid w:val="00A36CBB"/>
    <w:rsid w:val="00A36E3C"/>
    <w:rsid w:val="00A36EFB"/>
    <w:rsid w:val="00A40295"/>
    <w:rsid w:val="00A40959"/>
    <w:rsid w:val="00A41850"/>
    <w:rsid w:val="00A4216A"/>
    <w:rsid w:val="00A43121"/>
    <w:rsid w:val="00A43336"/>
    <w:rsid w:val="00A446BF"/>
    <w:rsid w:val="00A44AED"/>
    <w:rsid w:val="00A45C04"/>
    <w:rsid w:val="00A463A4"/>
    <w:rsid w:val="00A50304"/>
    <w:rsid w:val="00A508AA"/>
    <w:rsid w:val="00A50DD0"/>
    <w:rsid w:val="00A51FCC"/>
    <w:rsid w:val="00A5526C"/>
    <w:rsid w:val="00A553C9"/>
    <w:rsid w:val="00A55FC8"/>
    <w:rsid w:val="00A564D5"/>
    <w:rsid w:val="00A5703E"/>
    <w:rsid w:val="00A61FEC"/>
    <w:rsid w:val="00A620CA"/>
    <w:rsid w:val="00A62358"/>
    <w:rsid w:val="00A62AAB"/>
    <w:rsid w:val="00A62BBD"/>
    <w:rsid w:val="00A633D8"/>
    <w:rsid w:val="00A63779"/>
    <w:rsid w:val="00A63F68"/>
    <w:rsid w:val="00A64B0F"/>
    <w:rsid w:val="00A65DB6"/>
    <w:rsid w:val="00A67FF9"/>
    <w:rsid w:val="00A71021"/>
    <w:rsid w:val="00A72D81"/>
    <w:rsid w:val="00A72E09"/>
    <w:rsid w:val="00A7338F"/>
    <w:rsid w:val="00A7447E"/>
    <w:rsid w:val="00A74726"/>
    <w:rsid w:val="00A747F2"/>
    <w:rsid w:val="00A755B6"/>
    <w:rsid w:val="00A756AC"/>
    <w:rsid w:val="00A76B2D"/>
    <w:rsid w:val="00A76F58"/>
    <w:rsid w:val="00A7733D"/>
    <w:rsid w:val="00A77E7B"/>
    <w:rsid w:val="00A805DF"/>
    <w:rsid w:val="00A80CED"/>
    <w:rsid w:val="00A82070"/>
    <w:rsid w:val="00A82904"/>
    <w:rsid w:val="00A82AA3"/>
    <w:rsid w:val="00A82C45"/>
    <w:rsid w:val="00A82D54"/>
    <w:rsid w:val="00A84513"/>
    <w:rsid w:val="00A85937"/>
    <w:rsid w:val="00A85FE9"/>
    <w:rsid w:val="00A8607F"/>
    <w:rsid w:val="00A867A2"/>
    <w:rsid w:val="00A9013E"/>
    <w:rsid w:val="00A9084F"/>
    <w:rsid w:val="00A914A9"/>
    <w:rsid w:val="00A91743"/>
    <w:rsid w:val="00A91D27"/>
    <w:rsid w:val="00A91F47"/>
    <w:rsid w:val="00A92463"/>
    <w:rsid w:val="00A92AFC"/>
    <w:rsid w:val="00A92B6A"/>
    <w:rsid w:val="00A92D4B"/>
    <w:rsid w:val="00A93BAD"/>
    <w:rsid w:val="00A93E4C"/>
    <w:rsid w:val="00A9485E"/>
    <w:rsid w:val="00A94EAE"/>
    <w:rsid w:val="00AA0D57"/>
    <w:rsid w:val="00AA13FF"/>
    <w:rsid w:val="00AA28AC"/>
    <w:rsid w:val="00AA28FB"/>
    <w:rsid w:val="00AA48CD"/>
    <w:rsid w:val="00AA4ADB"/>
    <w:rsid w:val="00AA4F08"/>
    <w:rsid w:val="00AA50C4"/>
    <w:rsid w:val="00AA5AD4"/>
    <w:rsid w:val="00AA78AE"/>
    <w:rsid w:val="00AB06F3"/>
    <w:rsid w:val="00AB0D85"/>
    <w:rsid w:val="00AB17F1"/>
    <w:rsid w:val="00AB21BB"/>
    <w:rsid w:val="00AB29B8"/>
    <w:rsid w:val="00AB2C9A"/>
    <w:rsid w:val="00AB3F89"/>
    <w:rsid w:val="00AB472B"/>
    <w:rsid w:val="00AB5A0E"/>
    <w:rsid w:val="00AB6306"/>
    <w:rsid w:val="00AB71D8"/>
    <w:rsid w:val="00AB7563"/>
    <w:rsid w:val="00AC0B70"/>
    <w:rsid w:val="00AC0BA6"/>
    <w:rsid w:val="00AC18D3"/>
    <w:rsid w:val="00AC2E31"/>
    <w:rsid w:val="00AC3514"/>
    <w:rsid w:val="00AC3B28"/>
    <w:rsid w:val="00AC3E0E"/>
    <w:rsid w:val="00AC4108"/>
    <w:rsid w:val="00AC461F"/>
    <w:rsid w:val="00AC5628"/>
    <w:rsid w:val="00AC633D"/>
    <w:rsid w:val="00AC6F33"/>
    <w:rsid w:val="00AC7030"/>
    <w:rsid w:val="00AD138E"/>
    <w:rsid w:val="00AD2967"/>
    <w:rsid w:val="00AD2CED"/>
    <w:rsid w:val="00AD33D7"/>
    <w:rsid w:val="00AD486C"/>
    <w:rsid w:val="00AD52C5"/>
    <w:rsid w:val="00AD6650"/>
    <w:rsid w:val="00AD7465"/>
    <w:rsid w:val="00AD7762"/>
    <w:rsid w:val="00AE0273"/>
    <w:rsid w:val="00AE02DF"/>
    <w:rsid w:val="00AE0C75"/>
    <w:rsid w:val="00AE312A"/>
    <w:rsid w:val="00AE3297"/>
    <w:rsid w:val="00AE349D"/>
    <w:rsid w:val="00AE355C"/>
    <w:rsid w:val="00AE36CB"/>
    <w:rsid w:val="00AE3CB2"/>
    <w:rsid w:val="00AE6934"/>
    <w:rsid w:val="00AE6D7A"/>
    <w:rsid w:val="00AE6FA9"/>
    <w:rsid w:val="00AE771D"/>
    <w:rsid w:val="00AE7CCD"/>
    <w:rsid w:val="00AF026B"/>
    <w:rsid w:val="00AF0523"/>
    <w:rsid w:val="00AF0604"/>
    <w:rsid w:val="00AF20E7"/>
    <w:rsid w:val="00AF256B"/>
    <w:rsid w:val="00AF2EDA"/>
    <w:rsid w:val="00AF3901"/>
    <w:rsid w:val="00AF3EC4"/>
    <w:rsid w:val="00AF40A5"/>
    <w:rsid w:val="00AF44C2"/>
    <w:rsid w:val="00AF4EC0"/>
    <w:rsid w:val="00AF54EF"/>
    <w:rsid w:val="00AF581E"/>
    <w:rsid w:val="00AF5B79"/>
    <w:rsid w:val="00AF6D90"/>
    <w:rsid w:val="00AF7184"/>
    <w:rsid w:val="00AF7620"/>
    <w:rsid w:val="00AF7834"/>
    <w:rsid w:val="00AF7C8E"/>
    <w:rsid w:val="00B0017B"/>
    <w:rsid w:val="00B00746"/>
    <w:rsid w:val="00B01617"/>
    <w:rsid w:val="00B01A2F"/>
    <w:rsid w:val="00B026B0"/>
    <w:rsid w:val="00B028E2"/>
    <w:rsid w:val="00B0361F"/>
    <w:rsid w:val="00B03625"/>
    <w:rsid w:val="00B03DD3"/>
    <w:rsid w:val="00B04C3C"/>
    <w:rsid w:val="00B07123"/>
    <w:rsid w:val="00B0747E"/>
    <w:rsid w:val="00B10641"/>
    <w:rsid w:val="00B114DE"/>
    <w:rsid w:val="00B1165C"/>
    <w:rsid w:val="00B1283A"/>
    <w:rsid w:val="00B12F30"/>
    <w:rsid w:val="00B134CD"/>
    <w:rsid w:val="00B13DAC"/>
    <w:rsid w:val="00B14018"/>
    <w:rsid w:val="00B1537B"/>
    <w:rsid w:val="00B153A0"/>
    <w:rsid w:val="00B16215"/>
    <w:rsid w:val="00B16FD1"/>
    <w:rsid w:val="00B17853"/>
    <w:rsid w:val="00B207FC"/>
    <w:rsid w:val="00B21261"/>
    <w:rsid w:val="00B221DA"/>
    <w:rsid w:val="00B221FE"/>
    <w:rsid w:val="00B22379"/>
    <w:rsid w:val="00B234ED"/>
    <w:rsid w:val="00B2396D"/>
    <w:rsid w:val="00B2466B"/>
    <w:rsid w:val="00B24EE5"/>
    <w:rsid w:val="00B253DC"/>
    <w:rsid w:val="00B309A9"/>
    <w:rsid w:val="00B30C66"/>
    <w:rsid w:val="00B318CF"/>
    <w:rsid w:val="00B32489"/>
    <w:rsid w:val="00B32BDA"/>
    <w:rsid w:val="00B34048"/>
    <w:rsid w:val="00B346B0"/>
    <w:rsid w:val="00B363BD"/>
    <w:rsid w:val="00B36591"/>
    <w:rsid w:val="00B378BB"/>
    <w:rsid w:val="00B407E3"/>
    <w:rsid w:val="00B408E6"/>
    <w:rsid w:val="00B40F3A"/>
    <w:rsid w:val="00B420FC"/>
    <w:rsid w:val="00B4214E"/>
    <w:rsid w:val="00B42508"/>
    <w:rsid w:val="00B42509"/>
    <w:rsid w:val="00B437E8"/>
    <w:rsid w:val="00B43C94"/>
    <w:rsid w:val="00B43E47"/>
    <w:rsid w:val="00B44B64"/>
    <w:rsid w:val="00B46106"/>
    <w:rsid w:val="00B4625F"/>
    <w:rsid w:val="00B47B24"/>
    <w:rsid w:val="00B51E1F"/>
    <w:rsid w:val="00B5224C"/>
    <w:rsid w:val="00B52859"/>
    <w:rsid w:val="00B5287D"/>
    <w:rsid w:val="00B53077"/>
    <w:rsid w:val="00B53AE4"/>
    <w:rsid w:val="00B53DA8"/>
    <w:rsid w:val="00B53F3C"/>
    <w:rsid w:val="00B545CB"/>
    <w:rsid w:val="00B547E6"/>
    <w:rsid w:val="00B54874"/>
    <w:rsid w:val="00B54A27"/>
    <w:rsid w:val="00B56372"/>
    <w:rsid w:val="00B569F6"/>
    <w:rsid w:val="00B57AAA"/>
    <w:rsid w:val="00B57BD7"/>
    <w:rsid w:val="00B57CA4"/>
    <w:rsid w:val="00B6011C"/>
    <w:rsid w:val="00B602DC"/>
    <w:rsid w:val="00B60863"/>
    <w:rsid w:val="00B622A7"/>
    <w:rsid w:val="00B62BB8"/>
    <w:rsid w:val="00B631CF"/>
    <w:rsid w:val="00B632C3"/>
    <w:rsid w:val="00B638D8"/>
    <w:rsid w:val="00B63A02"/>
    <w:rsid w:val="00B6450E"/>
    <w:rsid w:val="00B64580"/>
    <w:rsid w:val="00B65A8F"/>
    <w:rsid w:val="00B65C0A"/>
    <w:rsid w:val="00B65DC9"/>
    <w:rsid w:val="00B65E74"/>
    <w:rsid w:val="00B66C66"/>
    <w:rsid w:val="00B66E13"/>
    <w:rsid w:val="00B70211"/>
    <w:rsid w:val="00B70ABE"/>
    <w:rsid w:val="00B70CA9"/>
    <w:rsid w:val="00B7171C"/>
    <w:rsid w:val="00B71962"/>
    <w:rsid w:val="00B729FE"/>
    <w:rsid w:val="00B73CE6"/>
    <w:rsid w:val="00B7401D"/>
    <w:rsid w:val="00B74266"/>
    <w:rsid w:val="00B743F1"/>
    <w:rsid w:val="00B76F66"/>
    <w:rsid w:val="00B775C1"/>
    <w:rsid w:val="00B80AAF"/>
    <w:rsid w:val="00B80E6D"/>
    <w:rsid w:val="00B81789"/>
    <w:rsid w:val="00B82676"/>
    <w:rsid w:val="00B82EEA"/>
    <w:rsid w:val="00B8358C"/>
    <w:rsid w:val="00B83644"/>
    <w:rsid w:val="00B84519"/>
    <w:rsid w:val="00B85CB1"/>
    <w:rsid w:val="00B85F3A"/>
    <w:rsid w:val="00B8653E"/>
    <w:rsid w:val="00B86D0C"/>
    <w:rsid w:val="00B910DB"/>
    <w:rsid w:val="00B92975"/>
    <w:rsid w:val="00B92C3E"/>
    <w:rsid w:val="00B92EC9"/>
    <w:rsid w:val="00B94A7B"/>
    <w:rsid w:val="00B952CE"/>
    <w:rsid w:val="00B959AC"/>
    <w:rsid w:val="00B966F0"/>
    <w:rsid w:val="00B97277"/>
    <w:rsid w:val="00B97BFD"/>
    <w:rsid w:val="00BA1E9A"/>
    <w:rsid w:val="00BA2334"/>
    <w:rsid w:val="00BA33EE"/>
    <w:rsid w:val="00BA35E2"/>
    <w:rsid w:val="00BA3C31"/>
    <w:rsid w:val="00BA591E"/>
    <w:rsid w:val="00BA690B"/>
    <w:rsid w:val="00BA760F"/>
    <w:rsid w:val="00BB0A57"/>
    <w:rsid w:val="00BB22D7"/>
    <w:rsid w:val="00BB26BF"/>
    <w:rsid w:val="00BB3EDC"/>
    <w:rsid w:val="00BB4DF2"/>
    <w:rsid w:val="00BB682D"/>
    <w:rsid w:val="00BB6CA1"/>
    <w:rsid w:val="00BB7659"/>
    <w:rsid w:val="00BB76EA"/>
    <w:rsid w:val="00BB77C9"/>
    <w:rsid w:val="00BB7CBD"/>
    <w:rsid w:val="00BC0DBF"/>
    <w:rsid w:val="00BC26B9"/>
    <w:rsid w:val="00BC4018"/>
    <w:rsid w:val="00BC40B4"/>
    <w:rsid w:val="00BC48DC"/>
    <w:rsid w:val="00BC4985"/>
    <w:rsid w:val="00BC557E"/>
    <w:rsid w:val="00BC6EE4"/>
    <w:rsid w:val="00BC7328"/>
    <w:rsid w:val="00BD00F0"/>
    <w:rsid w:val="00BD083D"/>
    <w:rsid w:val="00BD0883"/>
    <w:rsid w:val="00BD2F28"/>
    <w:rsid w:val="00BD4734"/>
    <w:rsid w:val="00BD504A"/>
    <w:rsid w:val="00BD66D0"/>
    <w:rsid w:val="00BD79E4"/>
    <w:rsid w:val="00BD7E23"/>
    <w:rsid w:val="00BE1C34"/>
    <w:rsid w:val="00BE2ECD"/>
    <w:rsid w:val="00BE43C2"/>
    <w:rsid w:val="00BE5417"/>
    <w:rsid w:val="00BE5F42"/>
    <w:rsid w:val="00BE5F95"/>
    <w:rsid w:val="00BE6646"/>
    <w:rsid w:val="00BE7A0C"/>
    <w:rsid w:val="00BF0E76"/>
    <w:rsid w:val="00BF0FCB"/>
    <w:rsid w:val="00BF11CC"/>
    <w:rsid w:val="00BF1BBE"/>
    <w:rsid w:val="00BF2E3B"/>
    <w:rsid w:val="00BF3EE2"/>
    <w:rsid w:val="00BF3FE6"/>
    <w:rsid w:val="00BF4DC3"/>
    <w:rsid w:val="00BF5A84"/>
    <w:rsid w:val="00BF6BCF"/>
    <w:rsid w:val="00BF7B00"/>
    <w:rsid w:val="00C0002C"/>
    <w:rsid w:val="00C005B8"/>
    <w:rsid w:val="00C018E1"/>
    <w:rsid w:val="00C01ED8"/>
    <w:rsid w:val="00C02046"/>
    <w:rsid w:val="00C03110"/>
    <w:rsid w:val="00C03210"/>
    <w:rsid w:val="00C03319"/>
    <w:rsid w:val="00C0683C"/>
    <w:rsid w:val="00C07099"/>
    <w:rsid w:val="00C0789E"/>
    <w:rsid w:val="00C07B9F"/>
    <w:rsid w:val="00C111B3"/>
    <w:rsid w:val="00C11ECB"/>
    <w:rsid w:val="00C13B1E"/>
    <w:rsid w:val="00C16B83"/>
    <w:rsid w:val="00C174FF"/>
    <w:rsid w:val="00C17708"/>
    <w:rsid w:val="00C1785F"/>
    <w:rsid w:val="00C17C17"/>
    <w:rsid w:val="00C2002E"/>
    <w:rsid w:val="00C20419"/>
    <w:rsid w:val="00C207FB"/>
    <w:rsid w:val="00C20E29"/>
    <w:rsid w:val="00C21139"/>
    <w:rsid w:val="00C21413"/>
    <w:rsid w:val="00C22FD0"/>
    <w:rsid w:val="00C239A8"/>
    <w:rsid w:val="00C24BE0"/>
    <w:rsid w:val="00C27278"/>
    <w:rsid w:val="00C27857"/>
    <w:rsid w:val="00C30C31"/>
    <w:rsid w:val="00C31EC6"/>
    <w:rsid w:val="00C320D8"/>
    <w:rsid w:val="00C32958"/>
    <w:rsid w:val="00C346A4"/>
    <w:rsid w:val="00C346D0"/>
    <w:rsid w:val="00C34C66"/>
    <w:rsid w:val="00C3700B"/>
    <w:rsid w:val="00C40620"/>
    <w:rsid w:val="00C40BC9"/>
    <w:rsid w:val="00C425E6"/>
    <w:rsid w:val="00C42C1F"/>
    <w:rsid w:val="00C4363D"/>
    <w:rsid w:val="00C43C72"/>
    <w:rsid w:val="00C44789"/>
    <w:rsid w:val="00C45B2B"/>
    <w:rsid w:val="00C45CC7"/>
    <w:rsid w:val="00C469A4"/>
    <w:rsid w:val="00C50248"/>
    <w:rsid w:val="00C539F1"/>
    <w:rsid w:val="00C53C34"/>
    <w:rsid w:val="00C54705"/>
    <w:rsid w:val="00C54B8C"/>
    <w:rsid w:val="00C5545F"/>
    <w:rsid w:val="00C55684"/>
    <w:rsid w:val="00C556D7"/>
    <w:rsid w:val="00C56337"/>
    <w:rsid w:val="00C572B3"/>
    <w:rsid w:val="00C577D7"/>
    <w:rsid w:val="00C613C0"/>
    <w:rsid w:val="00C628E4"/>
    <w:rsid w:val="00C62C47"/>
    <w:rsid w:val="00C63957"/>
    <w:rsid w:val="00C63CAD"/>
    <w:rsid w:val="00C649B1"/>
    <w:rsid w:val="00C65B7F"/>
    <w:rsid w:val="00C65E41"/>
    <w:rsid w:val="00C672F4"/>
    <w:rsid w:val="00C673A7"/>
    <w:rsid w:val="00C67812"/>
    <w:rsid w:val="00C700FE"/>
    <w:rsid w:val="00C7031F"/>
    <w:rsid w:val="00C7176C"/>
    <w:rsid w:val="00C72EA3"/>
    <w:rsid w:val="00C737DC"/>
    <w:rsid w:val="00C7491E"/>
    <w:rsid w:val="00C7523F"/>
    <w:rsid w:val="00C75890"/>
    <w:rsid w:val="00C759DE"/>
    <w:rsid w:val="00C75C18"/>
    <w:rsid w:val="00C767ED"/>
    <w:rsid w:val="00C76CE2"/>
    <w:rsid w:val="00C76F21"/>
    <w:rsid w:val="00C8129E"/>
    <w:rsid w:val="00C81CAC"/>
    <w:rsid w:val="00C8246E"/>
    <w:rsid w:val="00C83F8E"/>
    <w:rsid w:val="00C86477"/>
    <w:rsid w:val="00C873E4"/>
    <w:rsid w:val="00C87455"/>
    <w:rsid w:val="00C92B10"/>
    <w:rsid w:val="00C948CF"/>
    <w:rsid w:val="00C97D08"/>
    <w:rsid w:val="00CA0557"/>
    <w:rsid w:val="00CA0B40"/>
    <w:rsid w:val="00CA0FE1"/>
    <w:rsid w:val="00CA1BFC"/>
    <w:rsid w:val="00CA2381"/>
    <w:rsid w:val="00CA3372"/>
    <w:rsid w:val="00CA3543"/>
    <w:rsid w:val="00CA3F5A"/>
    <w:rsid w:val="00CA4A44"/>
    <w:rsid w:val="00CA55B0"/>
    <w:rsid w:val="00CA65A8"/>
    <w:rsid w:val="00CA6B01"/>
    <w:rsid w:val="00CA6CA9"/>
    <w:rsid w:val="00CA7638"/>
    <w:rsid w:val="00CA77A5"/>
    <w:rsid w:val="00CA7E2C"/>
    <w:rsid w:val="00CB01AF"/>
    <w:rsid w:val="00CB03B2"/>
    <w:rsid w:val="00CB2D67"/>
    <w:rsid w:val="00CB5177"/>
    <w:rsid w:val="00CB6370"/>
    <w:rsid w:val="00CB695F"/>
    <w:rsid w:val="00CB7A08"/>
    <w:rsid w:val="00CC0BD5"/>
    <w:rsid w:val="00CC122B"/>
    <w:rsid w:val="00CC1827"/>
    <w:rsid w:val="00CC2232"/>
    <w:rsid w:val="00CC3099"/>
    <w:rsid w:val="00CC3B47"/>
    <w:rsid w:val="00CC426D"/>
    <w:rsid w:val="00CC509B"/>
    <w:rsid w:val="00CC5536"/>
    <w:rsid w:val="00CC57D3"/>
    <w:rsid w:val="00CC582D"/>
    <w:rsid w:val="00CC58AB"/>
    <w:rsid w:val="00CC5AC5"/>
    <w:rsid w:val="00CC5C33"/>
    <w:rsid w:val="00CC602E"/>
    <w:rsid w:val="00CC6CBA"/>
    <w:rsid w:val="00CC6F45"/>
    <w:rsid w:val="00CC7E8A"/>
    <w:rsid w:val="00CC7E9B"/>
    <w:rsid w:val="00CD0D5F"/>
    <w:rsid w:val="00CD0DC9"/>
    <w:rsid w:val="00CD1CF0"/>
    <w:rsid w:val="00CD3C2E"/>
    <w:rsid w:val="00CD57EB"/>
    <w:rsid w:val="00CD5A93"/>
    <w:rsid w:val="00CD5DE4"/>
    <w:rsid w:val="00CD5EAB"/>
    <w:rsid w:val="00CD6A98"/>
    <w:rsid w:val="00CD6CA7"/>
    <w:rsid w:val="00CE064D"/>
    <w:rsid w:val="00CE09FE"/>
    <w:rsid w:val="00CE15BB"/>
    <w:rsid w:val="00CE1B3F"/>
    <w:rsid w:val="00CE1C5A"/>
    <w:rsid w:val="00CE2C99"/>
    <w:rsid w:val="00CE3316"/>
    <w:rsid w:val="00CE3D94"/>
    <w:rsid w:val="00CE4164"/>
    <w:rsid w:val="00CE4690"/>
    <w:rsid w:val="00CE4845"/>
    <w:rsid w:val="00CE5EC3"/>
    <w:rsid w:val="00CE61D5"/>
    <w:rsid w:val="00CF06C6"/>
    <w:rsid w:val="00CF1504"/>
    <w:rsid w:val="00CF162A"/>
    <w:rsid w:val="00CF342E"/>
    <w:rsid w:val="00CF3522"/>
    <w:rsid w:val="00CF3C38"/>
    <w:rsid w:val="00CF3C43"/>
    <w:rsid w:val="00CF4E39"/>
    <w:rsid w:val="00CF5023"/>
    <w:rsid w:val="00CF50C3"/>
    <w:rsid w:val="00CF741A"/>
    <w:rsid w:val="00D0046A"/>
    <w:rsid w:val="00D00EA0"/>
    <w:rsid w:val="00D02125"/>
    <w:rsid w:val="00D0225A"/>
    <w:rsid w:val="00D024F6"/>
    <w:rsid w:val="00D03509"/>
    <w:rsid w:val="00D038E1"/>
    <w:rsid w:val="00D03E49"/>
    <w:rsid w:val="00D04DFE"/>
    <w:rsid w:val="00D04FA6"/>
    <w:rsid w:val="00D06255"/>
    <w:rsid w:val="00D0657D"/>
    <w:rsid w:val="00D06F73"/>
    <w:rsid w:val="00D07915"/>
    <w:rsid w:val="00D07FC5"/>
    <w:rsid w:val="00D10318"/>
    <w:rsid w:val="00D115DA"/>
    <w:rsid w:val="00D12178"/>
    <w:rsid w:val="00D124CF"/>
    <w:rsid w:val="00D126E6"/>
    <w:rsid w:val="00D13237"/>
    <w:rsid w:val="00D1329F"/>
    <w:rsid w:val="00D13B54"/>
    <w:rsid w:val="00D14887"/>
    <w:rsid w:val="00D16113"/>
    <w:rsid w:val="00D166A8"/>
    <w:rsid w:val="00D16B98"/>
    <w:rsid w:val="00D16C0D"/>
    <w:rsid w:val="00D16F78"/>
    <w:rsid w:val="00D20233"/>
    <w:rsid w:val="00D2073A"/>
    <w:rsid w:val="00D22CE5"/>
    <w:rsid w:val="00D234C0"/>
    <w:rsid w:val="00D25960"/>
    <w:rsid w:val="00D25AE7"/>
    <w:rsid w:val="00D262CD"/>
    <w:rsid w:val="00D30661"/>
    <w:rsid w:val="00D30F4B"/>
    <w:rsid w:val="00D31D0D"/>
    <w:rsid w:val="00D327EB"/>
    <w:rsid w:val="00D328A2"/>
    <w:rsid w:val="00D3309C"/>
    <w:rsid w:val="00D33295"/>
    <w:rsid w:val="00D34760"/>
    <w:rsid w:val="00D36898"/>
    <w:rsid w:val="00D36F2F"/>
    <w:rsid w:val="00D409A8"/>
    <w:rsid w:val="00D409C6"/>
    <w:rsid w:val="00D41003"/>
    <w:rsid w:val="00D4165B"/>
    <w:rsid w:val="00D429EA"/>
    <w:rsid w:val="00D4427D"/>
    <w:rsid w:val="00D44F87"/>
    <w:rsid w:val="00D456E4"/>
    <w:rsid w:val="00D4581C"/>
    <w:rsid w:val="00D458F4"/>
    <w:rsid w:val="00D45C47"/>
    <w:rsid w:val="00D46938"/>
    <w:rsid w:val="00D500A6"/>
    <w:rsid w:val="00D5010A"/>
    <w:rsid w:val="00D50764"/>
    <w:rsid w:val="00D51118"/>
    <w:rsid w:val="00D51FC5"/>
    <w:rsid w:val="00D534D0"/>
    <w:rsid w:val="00D53B0A"/>
    <w:rsid w:val="00D545A7"/>
    <w:rsid w:val="00D54F76"/>
    <w:rsid w:val="00D60388"/>
    <w:rsid w:val="00D6075B"/>
    <w:rsid w:val="00D62ECB"/>
    <w:rsid w:val="00D6352A"/>
    <w:rsid w:val="00D6535D"/>
    <w:rsid w:val="00D66DC9"/>
    <w:rsid w:val="00D670BC"/>
    <w:rsid w:val="00D6746D"/>
    <w:rsid w:val="00D703E3"/>
    <w:rsid w:val="00D707D8"/>
    <w:rsid w:val="00D70D34"/>
    <w:rsid w:val="00D70E96"/>
    <w:rsid w:val="00D71361"/>
    <w:rsid w:val="00D71EAA"/>
    <w:rsid w:val="00D726F0"/>
    <w:rsid w:val="00D72F20"/>
    <w:rsid w:val="00D73300"/>
    <w:rsid w:val="00D7345E"/>
    <w:rsid w:val="00D73FF2"/>
    <w:rsid w:val="00D7446E"/>
    <w:rsid w:val="00D76D09"/>
    <w:rsid w:val="00D77588"/>
    <w:rsid w:val="00D778AA"/>
    <w:rsid w:val="00D77B30"/>
    <w:rsid w:val="00D8051A"/>
    <w:rsid w:val="00D814EF"/>
    <w:rsid w:val="00D816C9"/>
    <w:rsid w:val="00D8172C"/>
    <w:rsid w:val="00D81D1F"/>
    <w:rsid w:val="00D84BEC"/>
    <w:rsid w:val="00D86A75"/>
    <w:rsid w:val="00D877C2"/>
    <w:rsid w:val="00D9295A"/>
    <w:rsid w:val="00D9379F"/>
    <w:rsid w:val="00D93DE7"/>
    <w:rsid w:val="00D9574F"/>
    <w:rsid w:val="00D97185"/>
    <w:rsid w:val="00DA0189"/>
    <w:rsid w:val="00DA06FB"/>
    <w:rsid w:val="00DA2582"/>
    <w:rsid w:val="00DA26C0"/>
    <w:rsid w:val="00DA2978"/>
    <w:rsid w:val="00DA2A54"/>
    <w:rsid w:val="00DA2CF3"/>
    <w:rsid w:val="00DA2E43"/>
    <w:rsid w:val="00DA37F7"/>
    <w:rsid w:val="00DA3E87"/>
    <w:rsid w:val="00DA4918"/>
    <w:rsid w:val="00DA4B9D"/>
    <w:rsid w:val="00DA52F6"/>
    <w:rsid w:val="00DA55AA"/>
    <w:rsid w:val="00DA6B1D"/>
    <w:rsid w:val="00DA7471"/>
    <w:rsid w:val="00DA7DFE"/>
    <w:rsid w:val="00DB1E10"/>
    <w:rsid w:val="00DB2ABF"/>
    <w:rsid w:val="00DB389E"/>
    <w:rsid w:val="00DB3EEE"/>
    <w:rsid w:val="00DB675A"/>
    <w:rsid w:val="00DB76DB"/>
    <w:rsid w:val="00DB76FB"/>
    <w:rsid w:val="00DC0762"/>
    <w:rsid w:val="00DC1908"/>
    <w:rsid w:val="00DC1CF1"/>
    <w:rsid w:val="00DC2120"/>
    <w:rsid w:val="00DC3B75"/>
    <w:rsid w:val="00DC40A7"/>
    <w:rsid w:val="00DC4775"/>
    <w:rsid w:val="00DC4D63"/>
    <w:rsid w:val="00DC712E"/>
    <w:rsid w:val="00DD197E"/>
    <w:rsid w:val="00DD29F7"/>
    <w:rsid w:val="00DD2B62"/>
    <w:rsid w:val="00DD309D"/>
    <w:rsid w:val="00DD4028"/>
    <w:rsid w:val="00DD44D6"/>
    <w:rsid w:val="00DD46A5"/>
    <w:rsid w:val="00DD5479"/>
    <w:rsid w:val="00DD55DA"/>
    <w:rsid w:val="00DD6195"/>
    <w:rsid w:val="00DE029A"/>
    <w:rsid w:val="00DE26D1"/>
    <w:rsid w:val="00DE2AB6"/>
    <w:rsid w:val="00DE2ACD"/>
    <w:rsid w:val="00DE2B88"/>
    <w:rsid w:val="00DE31E7"/>
    <w:rsid w:val="00DE4541"/>
    <w:rsid w:val="00DE4E67"/>
    <w:rsid w:val="00DE54F7"/>
    <w:rsid w:val="00DE5EA1"/>
    <w:rsid w:val="00DE5FC0"/>
    <w:rsid w:val="00DE606B"/>
    <w:rsid w:val="00DE60A7"/>
    <w:rsid w:val="00DE6D97"/>
    <w:rsid w:val="00DE75C9"/>
    <w:rsid w:val="00DE7E08"/>
    <w:rsid w:val="00DE7E35"/>
    <w:rsid w:val="00DF0138"/>
    <w:rsid w:val="00DF0189"/>
    <w:rsid w:val="00DF229A"/>
    <w:rsid w:val="00DF2B38"/>
    <w:rsid w:val="00DF3072"/>
    <w:rsid w:val="00DF342D"/>
    <w:rsid w:val="00DF3B14"/>
    <w:rsid w:val="00DF41DB"/>
    <w:rsid w:val="00DF48B0"/>
    <w:rsid w:val="00DF6057"/>
    <w:rsid w:val="00DF6C0D"/>
    <w:rsid w:val="00DF7346"/>
    <w:rsid w:val="00E00BC9"/>
    <w:rsid w:val="00E01515"/>
    <w:rsid w:val="00E02E7C"/>
    <w:rsid w:val="00E0448C"/>
    <w:rsid w:val="00E04B32"/>
    <w:rsid w:val="00E04F03"/>
    <w:rsid w:val="00E050F0"/>
    <w:rsid w:val="00E0567B"/>
    <w:rsid w:val="00E05691"/>
    <w:rsid w:val="00E076D9"/>
    <w:rsid w:val="00E07944"/>
    <w:rsid w:val="00E126A8"/>
    <w:rsid w:val="00E126D7"/>
    <w:rsid w:val="00E13880"/>
    <w:rsid w:val="00E13C4A"/>
    <w:rsid w:val="00E14D0B"/>
    <w:rsid w:val="00E15AB4"/>
    <w:rsid w:val="00E1622A"/>
    <w:rsid w:val="00E2065C"/>
    <w:rsid w:val="00E212BB"/>
    <w:rsid w:val="00E222E5"/>
    <w:rsid w:val="00E2247F"/>
    <w:rsid w:val="00E22858"/>
    <w:rsid w:val="00E235C9"/>
    <w:rsid w:val="00E24786"/>
    <w:rsid w:val="00E260A7"/>
    <w:rsid w:val="00E26630"/>
    <w:rsid w:val="00E30252"/>
    <w:rsid w:val="00E30CF3"/>
    <w:rsid w:val="00E3116B"/>
    <w:rsid w:val="00E312D7"/>
    <w:rsid w:val="00E31A5D"/>
    <w:rsid w:val="00E31DF2"/>
    <w:rsid w:val="00E31E74"/>
    <w:rsid w:val="00E31FF0"/>
    <w:rsid w:val="00E320A5"/>
    <w:rsid w:val="00E3355B"/>
    <w:rsid w:val="00E3371B"/>
    <w:rsid w:val="00E3380B"/>
    <w:rsid w:val="00E343BB"/>
    <w:rsid w:val="00E34538"/>
    <w:rsid w:val="00E349A4"/>
    <w:rsid w:val="00E40036"/>
    <w:rsid w:val="00E40082"/>
    <w:rsid w:val="00E44B95"/>
    <w:rsid w:val="00E45713"/>
    <w:rsid w:val="00E46E33"/>
    <w:rsid w:val="00E4789A"/>
    <w:rsid w:val="00E513DA"/>
    <w:rsid w:val="00E51970"/>
    <w:rsid w:val="00E51FE2"/>
    <w:rsid w:val="00E521A5"/>
    <w:rsid w:val="00E5291D"/>
    <w:rsid w:val="00E52A9E"/>
    <w:rsid w:val="00E52EAB"/>
    <w:rsid w:val="00E54225"/>
    <w:rsid w:val="00E557B0"/>
    <w:rsid w:val="00E560DF"/>
    <w:rsid w:val="00E5698D"/>
    <w:rsid w:val="00E56BBE"/>
    <w:rsid w:val="00E574B0"/>
    <w:rsid w:val="00E578C4"/>
    <w:rsid w:val="00E6011D"/>
    <w:rsid w:val="00E60570"/>
    <w:rsid w:val="00E61D28"/>
    <w:rsid w:val="00E62081"/>
    <w:rsid w:val="00E623E5"/>
    <w:rsid w:val="00E62CCA"/>
    <w:rsid w:val="00E64283"/>
    <w:rsid w:val="00E645DB"/>
    <w:rsid w:val="00E664C1"/>
    <w:rsid w:val="00E673AC"/>
    <w:rsid w:val="00E70433"/>
    <w:rsid w:val="00E714C9"/>
    <w:rsid w:val="00E718DA"/>
    <w:rsid w:val="00E7195B"/>
    <w:rsid w:val="00E719DA"/>
    <w:rsid w:val="00E71A2D"/>
    <w:rsid w:val="00E71B18"/>
    <w:rsid w:val="00E72026"/>
    <w:rsid w:val="00E72051"/>
    <w:rsid w:val="00E721FC"/>
    <w:rsid w:val="00E735D3"/>
    <w:rsid w:val="00E73678"/>
    <w:rsid w:val="00E73BAC"/>
    <w:rsid w:val="00E74A76"/>
    <w:rsid w:val="00E75895"/>
    <w:rsid w:val="00E75C67"/>
    <w:rsid w:val="00E75D0C"/>
    <w:rsid w:val="00E762C8"/>
    <w:rsid w:val="00E77159"/>
    <w:rsid w:val="00E77617"/>
    <w:rsid w:val="00E808A2"/>
    <w:rsid w:val="00E808C8"/>
    <w:rsid w:val="00E80E64"/>
    <w:rsid w:val="00E83050"/>
    <w:rsid w:val="00E83FB4"/>
    <w:rsid w:val="00E84562"/>
    <w:rsid w:val="00E845DE"/>
    <w:rsid w:val="00E84FD1"/>
    <w:rsid w:val="00E85BCC"/>
    <w:rsid w:val="00E863CC"/>
    <w:rsid w:val="00E871A8"/>
    <w:rsid w:val="00E8788F"/>
    <w:rsid w:val="00E87A2C"/>
    <w:rsid w:val="00E87F5E"/>
    <w:rsid w:val="00E90362"/>
    <w:rsid w:val="00E91ECA"/>
    <w:rsid w:val="00E92088"/>
    <w:rsid w:val="00E93B7A"/>
    <w:rsid w:val="00E93F40"/>
    <w:rsid w:val="00E941A3"/>
    <w:rsid w:val="00E947CD"/>
    <w:rsid w:val="00E94A76"/>
    <w:rsid w:val="00E9554E"/>
    <w:rsid w:val="00E957D9"/>
    <w:rsid w:val="00E95ABD"/>
    <w:rsid w:val="00EA0B44"/>
    <w:rsid w:val="00EA0C9C"/>
    <w:rsid w:val="00EA0F2F"/>
    <w:rsid w:val="00EA26E7"/>
    <w:rsid w:val="00EA2FD5"/>
    <w:rsid w:val="00EA3203"/>
    <w:rsid w:val="00EA37FB"/>
    <w:rsid w:val="00EA4F90"/>
    <w:rsid w:val="00EA522A"/>
    <w:rsid w:val="00EA629F"/>
    <w:rsid w:val="00EA684A"/>
    <w:rsid w:val="00EA6900"/>
    <w:rsid w:val="00EA7D1E"/>
    <w:rsid w:val="00EB20E3"/>
    <w:rsid w:val="00EB2676"/>
    <w:rsid w:val="00EB2925"/>
    <w:rsid w:val="00EB3093"/>
    <w:rsid w:val="00EB39D2"/>
    <w:rsid w:val="00EB43EE"/>
    <w:rsid w:val="00EB4737"/>
    <w:rsid w:val="00EB48C1"/>
    <w:rsid w:val="00EB4E3F"/>
    <w:rsid w:val="00EB6469"/>
    <w:rsid w:val="00EB73A3"/>
    <w:rsid w:val="00EC1292"/>
    <w:rsid w:val="00EC1C91"/>
    <w:rsid w:val="00EC1DF5"/>
    <w:rsid w:val="00EC30B7"/>
    <w:rsid w:val="00EC3610"/>
    <w:rsid w:val="00EC3B53"/>
    <w:rsid w:val="00EC504A"/>
    <w:rsid w:val="00EC6460"/>
    <w:rsid w:val="00ED01F0"/>
    <w:rsid w:val="00ED0ABA"/>
    <w:rsid w:val="00ED0D7A"/>
    <w:rsid w:val="00ED0D93"/>
    <w:rsid w:val="00ED2427"/>
    <w:rsid w:val="00ED2797"/>
    <w:rsid w:val="00ED2CBA"/>
    <w:rsid w:val="00ED3B45"/>
    <w:rsid w:val="00ED488B"/>
    <w:rsid w:val="00ED5067"/>
    <w:rsid w:val="00ED5506"/>
    <w:rsid w:val="00ED6E69"/>
    <w:rsid w:val="00ED7706"/>
    <w:rsid w:val="00EE03A2"/>
    <w:rsid w:val="00EE08C5"/>
    <w:rsid w:val="00EE175B"/>
    <w:rsid w:val="00EE2176"/>
    <w:rsid w:val="00EE2C95"/>
    <w:rsid w:val="00EE42DC"/>
    <w:rsid w:val="00EE443A"/>
    <w:rsid w:val="00EE44E0"/>
    <w:rsid w:val="00EE4706"/>
    <w:rsid w:val="00EE55C0"/>
    <w:rsid w:val="00EE5784"/>
    <w:rsid w:val="00EE65F8"/>
    <w:rsid w:val="00EE6C43"/>
    <w:rsid w:val="00EE7061"/>
    <w:rsid w:val="00EF0242"/>
    <w:rsid w:val="00EF03C8"/>
    <w:rsid w:val="00EF26F3"/>
    <w:rsid w:val="00EF2866"/>
    <w:rsid w:val="00EF28BD"/>
    <w:rsid w:val="00EF2BC5"/>
    <w:rsid w:val="00EF428B"/>
    <w:rsid w:val="00EF4517"/>
    <w:rsid w:val="00EF524A"/>
    <w:rsid w:val="00EF54DE"/>
    <w:rsid w:val="00EF600F"/>
    <w:rsid w:val="00EF6670"/>
    <w:rsid w:val="00EF6F13"/>
    <w:rsid w:val="00EF6FA8"/>
    <w:rsid w:val="00EF7565"/>
    <w:rsid w:val="00EF7DD9"/>
    <w:rsid w:val="00F003B5"/>
    <w:rsid w:val="00F01232"/>
    <w:rsid w:val="00F01699"/>
    <w:rsid w:val="00F026C1"/>
    <w:rsid w:val="00F02C6B"/>
    <w:rsid w:val="00F02CEF"/>
    <w:rsid w:val="00F0358A"/>
    <w:rsid w:val="00F036DD"/>
    <w:rsid w:val="00F05C3F"/>
    <w:rsid w:val="00F061E7"/>
    <w:rsid w:val="00F069C7"/>
    <w:rsid w:val="00F072CD"/>
    <w:rsid w:val="00F07642"/>
    <w:rsid w:val="00F07A04"/>
    <w:rsid w:val="00F105C4"/>
    <w:rsid w:val="00F10AE2"/>
    <w:rsid w:val="00F1196F"/>
    <w:rsid w:val="00F11E83"/>
    <w:rsid w:val="00F13BE7"/>
    <w:rsid w:val="00F1406A"/>
    <w:rsid w:val="00F14910"/>
    <w:rsid w:val="00F16FA2"/>
    <w:rsid w:val="00F172F1"/>
    <w:rsid w:val="00F20C18"/>
    <w:rsid w:val="00F215D3"/>
    <w:rsid w:val="00F2194A"/>
    <w:rsid w:val="00F21EC0"/>
    <w:rsid w:val="00F22082"/>
    <w:rsid w:val="00F232C3"/>
    <w:rsid w:val="00F232E2"/>
    <w:rsid w:val="00F24B6B"/>
    <w:rsid w:val="00F257AE"/>
    <w:rsid w:val="00F25F51"/>
    <w:rsid w:val="00F25FC1"/>
    <w:rsid w:val="00F26D53"/>
    <w:rsid w:val="00F2734C"/>
    <w:rsid w:val="00F27A33"/>
    <w:rsid w:val="00F31402"/>
    <w:rsid w:val="00F3197A"/>
    <w:rsid w:val="00F33220"/>
    <w:rsid w:val="00F333D1"/>
    <w:rsid w:val="00F336AC"/>
    <w:rsid w:val="00F3394D"/>
    <w:rsid w:val="00F33FDB"/>
    <w:rsid w:val="00F34B67"/>
    <w:rsid w:val="00F35B63"/>
    <w:rsid w:val="00F36810"/>
    <w:rsid w:val="00F36F68"/>
    <w:rsid w:val="00F3754D"/>
    <w:rsid w:val="00F40AFB"/>
    <w:rsid w:val="00F40AFD"/>
    <w:rsid w:val="00F40BA8"/>
    <w:rsid w:val="00F417FC"/>
    <w:rsid w:val="00F41A4A"/>
    <w:rsid w:val="00F42FAD"/>
    <w:rsid w:val="00F433C4"/>
    <w:rsid w:val="00F439B9"/>
    <w:rsid w:val="00F43CBA"/>
    <w:rsid w:val="00F43E15"/>
    <w:rsid w:val="00F43E89"/>
    <w:rsid w:val="00F4435C"/>
    <w:rsid w:val="00F44564"/>
    <w:rsid w:val="00F44989"/>
    <w:rsid w:val="00F449F9"/>
    <w:rsid w:val="00F44BA9"/>
    <w:rsid w:val="00F4527D"/>
    <w:rsid w:val="00F46882"/>
    <w:rsid w:val="00F529B2"/>
    <w:rsid w:val="00F53E11"/>
    <w:rsid w:val="00F5447E"/>
    <w:rsid w:val="00F54EE1"/>
    <w:rsid w:val="00F54F0E"/>
    <w:rsid w:val="00F57DA9"/>
    <w:rsid w:val="00F6146A"/>
    <w:rsid w:val="00F614EC"/>
    <w:rsid w:val="00F62514"/>
    <w:rsid w:val="00F6309B"/>
    <w:rsid w:val="00F67BAC"/>
    <w:rsid w:val="00F70EA4"/>
    <w:rsid w:val="00F710A6"/>
    <w:rsid w:val="00F7336B"/>
    <w:rsid w:val="00F738D5"/>
    <w:rsid w:val="00F73D08"/>
    <w:rsid w:val="00F73F32"/>
    <w:rsid w:val="00F743F0"/>
    <w:rsid w:val="00F76334"/>
    <w:rsid w:val="00F772AF"/>
    <w:rsid w:val="00F77963"/>
    <w:rsid w:val="00F77BE2"/>
    <w:rsid w:val="00F77C72"/>
    <w:rsid w:val="00F804F6"/>
    <w:rsid w:val="00F813F5"/>
    <w:rsid w:val="00F81B5C"/>
    <w:rsid w:val="00F822A6"/>
    <w:rsid w:val="00F82393"/>
    <w:rsid w:val="00F836B6"/>
    <w:rsid w:val="00F837F4"/>
    <w:rsid w:val="00F84D79"/>
    <w:rsid w:val="00F860D6"/>
    <w:rsid w:val="00F8613B"/>
    <w:rsid w:val="00F90D78"/>
    <w:rsid w:val="00F913E9"/>
    <w:rsid w:val="00F918E6"/>
    <w:rsid w:val="00F91915"/>
    <w:rsid w:val="00F91AD6"/>
    <w:rsid w:val="00F92078"/>
    <w:rsid w:val="00F922E0"/>
    <w:rsid w:val="00F923AF"/>
    <w:rsid w:val="00F9270D"/>
    <w:rsid w:val="00F92EA0"/>
    <w:rsid w:val="00F94144"/>
    <w:rsid w:val="00F95705"/>
    <w:rsid w:val="00F95855"/>
    <w:rsid w:val="00F95C92"/>
    <w:rsid w:val="00F964CF"/>
    <w:rsid w:val="00F96B21"/>
    <w:rsid w:val="00F96FD1"/>
    <w:rsid w:val="00FA02C0"/>
    <w:rsid w:val="00FA1914"/>
    <w:rsid w:val="00FA1A2F"/>
    <w:rsid w:val="00FA1CEC"/>
    <w:rsid w:val="00FA1D9D"/>
    <w:rsid w:val="00FA1FD8"/>
    <w:rsid w:val="00FA2FF7"/>
    <w:rsid w:val="00FA35DB"/>
    <w:rsid w:val="00FA362D"/>
    <w:rsid w:val="00FA3E6D"/>
    <w:rsid w:val="00FA455D"/>
    <w:rsid w:val="00FA4EBF"/>
    <w:rsid w:val="00FA527F"/>
    <w:rsid w:val="00FA544A"/>
    <w:rsid w:val="00FA5677"/>
    <w:rsid w:val="00FA5A51"/>
    <w:rsid w:val="00FA5F7D"/>
    <w:rsid w:val="00FA662E"/>
    <w:rsid w:val="00FA6D44"/>
    <w:rsid w:val="00FA6E08"/>
    <w:rsid w:val="00FA754D"/>
    <w:rsid w:val="00FA7559"/>
    <w:rsid w:val="00FA7E71"/>
    <w:rsid w:val="00FB065D"/>
    <w:rsid w:val="00FB1761"/>
    <w:rsid w:val="00FB18F8"/>
    <w:rsid w:val="00FB1C68"/>
    <w:rsid w:val="00FB27BD"/>
    <w:rsid w:val="00FB316F"/>
    <w:rsid w:val="00FB4464"/>
    <w:rsid w:val="00FB483A"/>
    <w:rsid w:val="00FB4BCE"/>
    <w:rsid w:val="00FB573E"/>
    <w:rsid w:val="00FB5916"/>
    <w:rsid w:val="00FB6C31"/>
    <w:rsid w:val="00FB7BD0"/>
    <w:rsid w:val="00FC1448"/>
    <w:rsid w:val="00FC26A8"/>
    <w:rsid w:val="00FC2880"/>
    <w:rsid w:val="00FC3423"/>
    <w:rsid w:val="00FC587C"/>
    <w:rsid w:val="00FC637B"/>
    <w:rsid w:val="00FC6F72"/>
    <w:rsid w:val="00FC7992"/>
    <w:rsid w:val="00FD0146"/>
    <w:rsid w:val="00FD0A0D"/>
    <w:rsid w:val="00FD1A9A"/>
    <w:rsid w:val="00FD3453"/>
    <w:rsid w:val="00FD5401"/>
    <w:rsid w:val="00FD5A6F"/>
    <w:rsid w:val="00FD5CA9"/>
    <w:rsid w:val="00FD5D1B"/>
    <w:rsid w:val="00FD723A"/>
    <w:rsid w:val="00FD7FAA"/>
    <w:rsid w:val="00FE0027"/>
    <w:rsid w:val="00FE003A"/>
    <w:rsid w:val="00FE080B"/>
    <w:rsid w:val="00FE0A51"/>
    <w:rsid w:val="00FE129B"/>
    <w:rsid w:val="00FE2853"/>
    <w:rsid w:val="00FE2B8F"/>
    <w:rsid w:val="00FE334E"/>
    <w:rsid w:val="00FE3964"/>
    <w:rsid w:val="00FE48F6"/>
    <w:rsid w:val="00FE5218"/>
    <w:rsid w:val="00FE542F"/>
    <w:rsid w:val="00FE560C"/>
    <w:rsid w:val="00FE56EE"/>
    <w:rsid w:val="00FE6E06"/>
    <w:rsid w:val="00FE74F7"/>
    <w:rsid w:val="00FE7A9E"/>
    <w:rsid w:val="00FF06F7"/>
    <w:rsid w:val="00FF0E98"/>
    <w:rsid w:val="00FF0FA2"/>
    <w:rsid w:val="00FF191A"/>
    <w:rsid w:val="00FF2B24"/>
    <w:rsid w:val="00FF36D2"/>
    <w:rsid w:val="00FF3A64"/>
    <w:rsid w:val="00FF538F"/>
    <w:rsid w:val="00FF5ABF"/>
    <w:rsid w:val="00FF60AF"/>
    <w:rsid w:val="00FF6376"/>
    <w:rsid w:val="00FF63B2"/>
    <w:rsid w:val="00FF7794"/>
    <w:rsid w:val="1AD30089"/>
    <w:rsid w:val="1EC5B209"/>
    <w:rsid w:val="267FEA98"/>
    <w:rsid w:val="2B5C1535"/>
    <w:rsid w:val="2FB3A251"/>
    <w:rsid w:val="38ADC37C"/>
    <w:rsid w:val="3DDC5D9F"/>
    <w:rsid w:val="3EDE2FC3"/>
    <w:rsid w:val="57D24BE5"/>
    <w:rsid w:val="57F1A551"/>
    <w:rsid w:val="5FFB0401"/>
    <w:rsid w:val="6E951DD1"/>
    <w:rsid w:val="6FAE3E87"/>
    <w:rsid w:val="73410CB1"/>
    <w:rsid w:val="73BFE163"/>
    <w:rsid w:val="73F453D4"/>
    <w:rsid w:val="77292D52"/>
    <w:rsid w:val="7B77AB08"/>
    <w:rsid w:val="7BBE6003"/>
    <w:rsid w:val="7BFD39AA"/>
    <w:rsid w:val="7D4D89BD"/>
    <w:rsid w:val="7DF746D8"/>
    <w:rsid w:val="7DF7EF06"/>
    <w:rsid w:val="7DFFEF41"/>
    <w:rsid w:val="7F4CAFD4"/>
    <w:rsid w:val="7FEFB775"/>
    <w:rsid w:val="7FFF7C52"/>
    <w:rsid w:val="7FFFE82A"/>
    <w:rsid w:val="9FFFC026"/>
    <w:rsid w:val="A67FF3F0"/>
    <w:rsid w:val="AC7F0B32"/>
    <w:rsid w:val="BB3FE4AD"/>
    <w:rsid w:val="D26B8549"/>
    <w:rsid w:val="D5B7F761"/>
    <w:rsid w:val="D7DF62CE"/>
    <w:rsid w:val="DE3E41AB"/>
    <w:rsid w:val="EFD9C8B8"/>
    <w:rsid w:val="F57A3670"/>
    <w:rsid w:val="F5BFC7E3"/>
    <w:rsid w:val="FCEA8485"/>
    <w:rsid w:val="FDE94DB3"/>
    <w:rsid w:val="FFEBEDF5"/>
    <w:rsid w:val="FFED4E6A"/>
    <w:rsid w:val="FFFFE0EF"/>
    <w:rsid w:val="FFFFEC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0" w:name="Normal Indent"/>
    <w:lsdException w:qFormat="1"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qFormat="1" w:uiPriority="99" w:semiHidden="0" w:name="footnote reference"/>
    <w:lsdException w:qFormat="1" w:unhideWhenUsed="0" w:uiPriority="99" w:semiHidden="0" w:name="annotation reference"/>
    <w:lsdException w:qFormat="1" w:uiPriority="99" w:semiHidden="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sdException w:qFormat="1"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iPriority="99" w:semiHidden="0" w:name="Plain Text"/>
    <w:lsdException w:uiPriority="0" w:name="E-mail Signature"/>
    <w:lsdException w:qFormat="1" w:unhideWhenUsed="0"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27"/>
    <w:qFormat/>
    <w:locked/>
    <w:uiPriority w:val="0"/>
    <w:pPr>
      <w:keepNext/>
      <w:keepLines/>
      <w:spacing w:line="520" w:lineRule="exact"/>
      <w:outlineLvl w:val="0"/>
    </w:pPr>
    <w:rPr>
      <w:rFonts w:eastAsia="黑体"/>
      <w:bCs/>
      <w:kern w:val="44"/>
      <w:szCs w:val="44"/>
    </w:rPr>
  </w:style>
  <w:style w:type="paragraph" w:styleId="3">
    <w:name w:val="heading 2"/>
    <w:basedOn w:val="1"/>
    <w:next w:val="1"/>
    <w:link w:val="28"/>
    <w:unhideWhenUsed/>
    <w:qFormat/>
    <w:locked/>
    <w:uiPriority w:val="0"/>
    <w:pPr>
      <w:keepNext/>
      <w:keepLines/>
      <w:spacing w:line="520" w:lineRule="exact"/>
      <w:outlineLvl w:val="1"/>
    </w:pPr>
    <w:rPr>
      <w:rFonts w:ascii="Calibri Light" w:hAnsi="Calibri Light" w:eastAsia="楷体_GB2312"/>
      <w:bCs/>
      <w:szCs w:val="32"/>
    </w:rPr>
  </w:style>
  <w:style w:type="paragraph" w:styleId="4">
    <w:name w:val="heading 3"/>
    <w:basedOn w:val="1"/>
    <w:next w:val="1"/>
    <w:link w:val="29"/>
    <w:unhideWhenUsed/>
    <w:qFormat/>
    <w:locked/>
    <w:uiPriority w:val="0"/>
    <w:pPr>
      <w:keepNext/>
      <w:keepLines/>
      <w:spacing w:line="520" w:lineRule="exact"/>
      <w:ind w:firstLine="0" w:firstLineChars="0"/>
      <w:outlineLvl w:val="2"/>
    </w:pPr>
    <w:rPr>
      <w:rFonts w:ascii="仿宋_GB2312"/>
      <w:bCs/>
      <w:szCs w:val="32"/>
    </w:rPr>
  </w:style>
  <w:style w:type="paragraph" w:styleId="5">
    <w:name w:val="heading 4"/>
    <w:basedOn w:val="1"/>
    <w:next w:val="1"/>
    <w:link w:val="30"/>
    <w:unhideWhenUsed/>
    <w:qFormat/>
    <w:locked/>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52"/>
    <w:semiHidden/>
    <w:qFormat/>
    <w:uiPriority w:val="0"/>
    <w:pPr>
      <w:shd w:val="clear" w:color="auto" w:fill="000080"/>
      <w:spacing w:line="240" w:lineRule="auto"/>
      <w:ind w:firstLine="0" w:firstLineChars="0"/>
    </w:pPr>
    <w:rPr>
      <w:rFonts w:eastAsia="宋体"/>
      <w:sz w:val="21"/>
      <w:szCs w:val="24"/>
    </w:rPr>
  </w:style>
  <w:style w:type="paragraph" w:styleId="7">
    <w:name w:val="annotation text"/>
    <w:basedOn w:val="1"/>
    <w:link w:val="34"/>
    <w:qFormat/>
    <w:uiPriority w:val="99"/>
    <w:pPr>
      <w:jc w:val="left"/>
    </w:pPr>
  </w:style>
  <w:style w:type="paragraph" w:styleId="8">
    <w:name w:val="Body Text"/>
    <w:basedOn w:val="1"/>
    <w:link w:val="49"/>
    <w:qFormat/>
    <w:uiPriority w:val="0"/>
    <w:pPr>
      <w:spacing w:after="120" w:line="300" w:lineRule="auto"/>
    </w:pPr>
    <w:rPr>
      <w:snapToGrid w:val="0"/>
      <w:kern w:val="0"/>
      <w:szCs w:val="32"/>
    </w:rPr>
  </w:style>
  <w:style w:type="paragraph" w:styleId="9">
    <w:name w:val="Plain Text"/>
    <w:basedOn w:val="1"/>
    <w:link w:val="54"/>
    <w:unhideWhenUsed/>
    <w:qFormat/>
    <w:uiPriority w:val="99"/>
    <w:pPr>
      <w:spacing w:line="240" w:lineRule="auto"/>
      <w:ind w:firstLine="0" w:firstLineChars="0"/>
    </w:pPr>
    <w:rPr>
      <w:rFonts w:ascii="宋体" w:hAnsi="Courier New" w:eastAsia="宋体" w:cs="Courier New"/>
      <w:sz w:val="21"/>
      <w:szCs w:val="21"/>
    </w:rPr>
  </w:style>
  <w:style w:type="paragraph" w:styleId="10">
    <w:name w:val="Date"/>
    <w:basedOn w:val="1"/>
    <w:next w:val="1"/>
    <w:link w:val="63"/>
    <w:unhideWhenUsed/>
    <w:qFormat/>
    <w:uiPriority w:val="99"/>
    <w:pPr>
      <w:spacing w:line="240" w:lineRule="auto"/>
      <w:ind w:left="100" w:leftChars="2500" w:firstLine="0" w:firstLineChars="0"/>
    </w:pPr>
    <w:rPr>
      <w:rFonts w:ascii="Calibri" w:hAnsi="Calibri" w:eastAsia="宋体"/>
      <w:sz w:val="21"/>
      <w:szCs w:val="22"/>
    </w:rPr>
  </w:style>
  <w:style w:type="paragraph" w:styleId="11">
    <w:name w:val="Balloon Text"/>
    <w:basedOn w:val="1"/>
    <w:link w:val="36"/>
    <w:semiHidden/>
    <w:qFormat/>
    <w:uiPriority w:val="0"/>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4">
    <w:name w:val="footnote text"/>
    <w:basedOn w:val="1"/>
    <w:link w:val="53"/>
    <w:unhideWhenUsed/>
    <w:qFormat/>
    <w:uiPriority w:val="99"/>
    <w:pPr>
      <w:snapToGrid w:val="0"/>
      <w:spacing w:line="240" w:lineRule="auto"/>
      <w:ind w:firstLine="0" w:firstLineChars="0"/>
      <w:jc w:val="left"/>
    </w:pPr>
    <w:rPr>
      <w:rFonts w:eastAsia="宋体"/>
      <w:sz w:val="18"/>
      <w:szCs w:val="18"/>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40"/>
    <w:qFormat/>
    <w:locked/>
    <w:uiPriority w:val="0"/>
    <w:pPr>
      <w:spacing w:before="240" w:after="60"/>
      <w:jc w:val="center"/>
      <w:outlineLvl w:val="0"/>
    </w:pPr>
    <w:rPr>
      <w:rFonts w:ascii="Calibri Light" w:hAnsi="Calibri Light" w:eastAsia="方正小标宋_GBK"/>
      <w:b/>
      <w:bCs/>
      <w:sz w:val="44"/>
      <w:szCs w:val="32"/>
    </w:rPr>
  </w:style>
  <w:style w:type="paragraph" w:styleId="17">
    <w:name w:val="annotation subject"/>
    <w:basedOn w:val="7"/>
    <w:next w:val="7"/>
    <w:link w:val="38"/>
    <w:qFormat/>
    <w:uiPriority w:val="99"/>
    <w:rPr>
      <w:b/>
      <w:bCs/>
    </w:rPr>
  </w:style>
  <w:style w:type="table" w:styleId="19">
    <w:name w:val="Table Grid"/>
    <w:basedOn w:val="18"/>
    <w:qFormat/>
    <w:locked/>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page number"/>
    <w:qFormat/>
    <w:uiPriority w:val="0"/>
    <w:rPr>
      <w:rFonts w:cs="Times New Roman"/>
    </w:rPr>
  </w:style>
  <w:style w:type="character" w:styleId="23">
    <w:name w:val="line number"/>
    <w:basedOn w:val="20"/>
    <w:unhideWhenUsed/>
    <w:qFormat/>
    <w:uiPriority w:val="99"/>
  </w:style>
  <w:style w:type="character" w:styleId="24">
    <w:name w:val="Hyperlink"/>
    <w:basedOn w:val="20"/>
    <w:semiHidden/>
    <w:unhideWhenUsed/>
    <w:qFormat/>
    <w:uiPriority w:val="0"/>
    <w:rPr>
      <w:color w:val="0000FF"/>
      <w:u w:val="single"/>
    </w:rPr>
  </w:style>
  <w:style w:type="character" w:styleId="25">
    <w:name w:val="annotation reference"/>
    <w:qFormat/>
    <w:uiPriority w:val="99"/>
    <w:rPr>
      <w:sz w:val="21"/>
      <w:szCs w:val="21"/>
    </w:rPr>
  </w:style>
  <w:style w:type="character" w:styleId="26">
    <w:name w:val="footnote reference"/>
    <w:unhideWhenUsed/>
    <w:qFormat/>
    <w:uiPriority w:val="99"/>
    <w:rPr>
      <w:vertAlign w:val="superscript"/>
    </w:rPr>
  </w:style>
  <w:style w:type="character" w:customStyle="1" w:styleId="27">
    <w:name w:val="标题 1 字符"/>
    <w:link w:val="2"/>
    <w:qFormat/>
    <w:uiPriority w:val="0"/>
    <w:rPr>
      <w:rFonts w:ascii="Times New Roman" w:hAnsi="Times New Roman" w:eastAsia="黑体"/>
      <w:bCs/>
      <w:kern w:val="44"/>
      <w:sz w:val="32"/>
      <w:szCs w:val="44"/>
    </w:rPr>
  </w:style>
  <w:style w:type="character" w:customStyle="1" w:styleId="28">
    <w:name w:val="标题 2 字符"/>
    <w:link w:val="3"/>
    <w:qFormat/>
    <w:uiPriority w:val="0"/>
    <w:rPr>
      <w:rFonts w:ascii="Calibri Light" w:hAnsi="Calibri Light" w:eastAsia="楷体_GB2312"/>
      <w:bCs/>
      <w:kern w:val="2"/>
      <w:sz w:val="32"/>
      <w:szCs w:val="32"/>
    </w:rPr>
  </w:style>
  <w:style w:type="character" w:customStyle="1" w:styleId="29">
    <w:name w:val="标题 3 字符"/>
    <w:link w:val="4"/>
    <w:qFormat/>
    <w:uiPriority w:val="0"/>
    <w:rPr>
      <w:rFonts w:ascii="仿宋_GB2312" w:hAnsi="Times New Roman" w:eastAsia="仿宋_GB2312"/>
      <w:bCs/>
      <w:kern w:val="2"/>
      <w:sz w:val="32"/>
      <w:szCs w:val="32"/>
    </w:rPr>
  </w:style>
  <w:style w:type="character" w:customStyle="1" w:styleId="30">
    <w:name w:val="标题 4 字符"/>
    <w:basedOn w:val="20"/>
    <w:link w:val="5"/>
    <w:qFormat/>
    <w:uiPriority w:val="0"/>
    <w:rPr>
      <w:rFonts w:asciiTheme="majorHAnsi" w:hAnsiTheme="majorHAnsi" w:eastAsiaTheme="majorEastAsia" w:cstheme="majorBidi"/>
      <w:b/>
      <w:bCs/>
      <w:kern w:val="2"/>
      <w:sz w:val="28"/>
      <w:szCs w:val="28"/>
    </w:rPr>
  </w:style>
  <w:style w:type="character" w:customStyle="1" w:styleId="31">
    <w:name w:val="页眉 字符"/>
    <w:link w:val="13"/>
    <w:qFormat/>
    <w:locked/>
    <w:uiPriority w:val="99"/>
    <w:rPr>
      <w:rFonts w:cs="Times New Roman"/>
      <w:sz w:val="18"/>
      <w:szCs w:val="18"/>
    </w:rPr>
  </w:style>
  <w:style w:type="character" w:customStyle="1" w:styleId="32">
    <w:name w:val="页脚 字符"/>
    <w:link w:val="12"/>
    <w:qFormat/>
    <w:locked/>
    <w:uiPriority w:val="99"/>
    <w:rPr>
      <w:rFonts w:cs="Times New Roman"/>
      <w:sz w:val="18"/>
      <w:szCs w:val="18"/>
    </w:rPr>
  </w:style>
  <w:style w:type="character" w:customStyle="1" w:styleId="33">
    <w:name w:val="f101"/>
    <w:qFormat/>
    <w:uiPriority w:val="0"/>
    <w:rPr>
      <w:sz w:val="24"/>
    </w:rPr>
  </w:style>
  <w:style w:type="character" w:customStyle="1" w:styleId="34">
    <w:name w:val="批注文字 字符"/>
    <w:link w:val="7"/>
    <w:qFormat/>
    <w:locked/>
    <w:uiPriority w:val="99"/>
    <w:rPr>
      <w:rFonts w:ascii="Times New Roman" w:hAnsi="Times New Roman" w:eastAsia="宋体" w:cs="Times New Roman"/>
      <w:sz w:val="20"/>
      <w:szCs w:val="20"/>
    </w:rPr>
  </w:style>
  <w:style w:type="paragraph" w:customStyle="1" w:styleId="35">
    <w:name w:val="列出段落1"/>
    <w:basedOn w:val="1"/>
    <w:qFormat/>
    <w:uiPriority w:val="34"/>
    <w:pPr>
      <w:widowControl/>
      <w:ind w:firstLine="420"/>
      <w:jc w:val="left"/>
    </w:pPr>
    <w:rPr>
      <w:rFonts w:ascii="宋体" w:hAnsi="宋体" w:cs="宋体"/>
      <w:kern w:val="0"/>
      <w:sz w:val="24"/>
      <w:szCs w:val="24"/>
    </w:rPr>
  </w:style>
  <w:style w:type="character" w:customStyle="1" w:styleId="36">
    <w:name w:val="批注框文本 字符"/>
    <w:link w:val="11"/>
    <w:qFormat/>
    <w:locked/>
    <w:uiPriority w:val="0"/>
    <w:rPr>
      <w:rFonts w:ascii="Times New Roman" w:hAnsi="Times New Roman" w:eastAsia="宋体" w:cs="Times New Roman"/>
      <w:sz w:val="18"/>
      <w:szCs w:val="18"/>
    </w:rPr>
  </w:style>
  <w:style w:type="paragraph" w:customStyle="1" w:styleId="37">
    <w:name w:val="默认段落字体 Para Char Char Char Char Char Char Char"/>
    <w:basedOn w:val="1"/>
    <w:qFormat/>
    <w:uiPriority w:val="0"/>
    <w:pPr>
      <w:adjustRightInd w:val="0"/>
      <w:spacing w:line="360" w:lineRule="auto"/>
    </w:pPr>
    <w:rPr>
      <w:rFonts w:ascii="Tahoma" w:hAnsi="Tahoma"/>
      <w:kern w:val="0"/>
      <w:sz w:val="24"/>
    </w:rPr>
  </w:style>
  <w:style w:type="character" w:customStyle="1" w:styleId="38">
    <w:name w:val="批注主题 字符"/>
    <w:link w:val="17"/>
    <w:qFormat/>
    <w:uiPriority w:val="99"/>
    <w:rPr>
      <w:rFonts w:ascii="Times New Roman" w:hAnsi="Times New Roman" w:eastAsia="宋体" w:cs="Times New Roman"/>
      <w:b/>
      <w:bCs/>
      <w:kern w:val="2"/>
      <w:sz w:val="21"/>
      <w:szCs w:val="20"/>
    </w:rPr>
  </w:style>
  <w:style w:type="paragraph" w:customStyle="1" w:styleId="39">
    <w:name w:val="修订1"/>
    <w:hidden/>
    <w:qFormat/>
    <w:uiPriority w:val="99"/>
    <w:rPr>
      <w:rFonts w:ascii="Times New Roman" w:hAnsi="Times New Roman" w:eastAsia="宋体" w:cs="Times New Roman"/>
      <w:kern w:val="2"/>
      <w:sz w:val="21"/>
      <w:lang w:val="en-US" w:eastAsia="zh-CN" w:bidi="ar-SA"/>
    </w:rPr>
  </w:style>
  <w:style w:type="character" w:customStyle="1" w:styleId="40">
    <w:name w:val="标题 字符"/>
    <w:link w:val="16"/>
    <w:qFormat/>
    <w:uiPriority w:val="0"/>
    <w:rPr>
      <w:rFonts w:ascii="Calibri Light" w:hAnsi="Calibri Light" w:eastAsia="方正小标宋_GBK" w:cs="Times New Roman"/>
      <w:b/>
      <w:bCs/>
      <w:kern w:val="2"/>
      <w:sz w:val="44"/>
      <w:szCs w:val="32"/>
    </w:rPr>
  </w:style>
  <w:style w:type="paragraph" w:styleId="41">
    <w:name w:val="List Paragraph"/>
    <w:basedOn w:val="1"/>
    <w:link w:val="62"/>
    <w:qFormat/>
    <w:uiPriority w:val="34"/>
    <w:pPr>
      <w:spacing w:line="240" w:lineRule="auto"/>
    </w:pPr>
    <w:rPr>
      <w:rFonts w:ascii="Calibri" w:hAnsi="Calibri" w:eastAsia="宋体"/>
      <w:sz w:val="21"/>
      <w:szCs w:val="22"/>
    </w:rPr>
  </w:style>
  <w:style w:type="paragraph" w:customStyle="1" w:styleId="42">
    <w:name w:val="标题5"/>
    <w:basedOn w:val="1"/>
    <w:qFormat/>
    <w:uiPriority w:val="0"/>
    <w:pPr>
      <w:snapToGrid w:val="0"/>
      <w:spacing w:before="50" w:after="50" w:line="245" w:lineRule="auto"/>
      <w:ind w:firstLine="0" w:firstLineChars="0"/>
      <w:jc w:val="left"/>
      <w:outlineLvl w:val="4"/>
    </w:pPr>
    <w:rPr>
      <w:rFonts w:eastAsia="方正小标宋简体"/>
      <w:spacing w:val="4"/>
      <w:sz w:val="20"/>
    </w:rPr>
  </w:style>
  <w:style w:type="paragraph" w:customStyle="1" w:styleId="43">
    <w:name w:val="段"/>
    <w:link w:val="44"/>
    <w:qFormat/>
    <w:uiPriority w:val="0"/>
    <w:pPr>
      <w:autoSpaceDE w:val="0"/>
      <w:autoSpaceDN w:val="0"/>
      <w:ind w:firstLine="200"/>
      <w:jc w:val="both"/>
    </w:pPr>
    <w:rPr>
      <w:rFonts w:ascii="Times New Roman" w:hAnsi="Times New Roman" w:eastAsia="宋体" w:cs="Times New Roman"/>
      <w:sz w:val="21"/>
      <w:lang w:val="en-US" w:eastAsia="zh-CN" w:bidi="ar-SA"/>
    </w:rPr>
  </w:style>
  <w:style w:type="character" w:customStyle="1" w:styleId="44">
    <w:name w:val="段 Char"/>
    <w:link w:val="43"/>
    <w:qFormat/>
    <w:uiPriority w:val="99"/>
    <w:rPr>
      <w:rFonts w:ascii="Times New Roman" w:hAnsi="Times New Roman"/>
      <w:sz w:val="21"/>
    </w:rPr>
  </w:style>
  <w:style w:type="paragraph" w:customStyle="1" w:styleId="45">
    <w:name w:val="表格正文文本"/>
    <w:basedOn w:val="1"/>
    <w:qFormat/>
    <w:uiPriority w:val="0"/>
    <w:pPr>
      <w:widowControl/>
      <w:spacing w:line="240" w:lineRule="auto"/>
      <w:ind w:firstLine="0" w:firstLineChars="0"/>
      <w:jc w:val="center"/>
    </w:pPr>
    <w:rPr>
      <w:rFonts w:ascii="Tahoma" w:hAnsi="Tahoma" w:eastAsia="宋体"/>
      <w:kern w:val="0"/>
      <w:sz w:val="18"/>
    </w:rPr>
  </w:style>
  <w:style w:type="paragraph" w:customStyle="1" w:styleId="46">
    <w:name w:val="调查项目"/>
    <w:basedOn w:val="1"/>
    <w:qFormat/>
    <w:uiPriority w:val="0"/>
    <w:pPr>
      <w:widowControl/>
      <w:spacing w:line="240" w:lineRule="auto"/>
      <w:ind w:firstLine="0" w:firstLineChars="0"/>
      <w:jc w:val="left"/>
      <w:outlineLvl w:val="1"/>
    </w:pPr>
    <w:rPr>
      <w:rFonts w:ascii="Tahoma" w:hAnsi="Tahoma" w:eastAsia="黑体"/>
      <w:bCs/>
      <w:color w:val="333399"/>
      <w:kern w:val="0"/>
      <w:sz w:val="18"/>
      <w:szCs w:val="18"/>
    </w:rPr>
  </w:style>
  <w:style w:type="paragraph" w:customStyle="1" w:styleId="47">
    <w:name w:val="列标题"/>
    <w:basedOn w:val="3"/>
    <w:qFormat/>
    <w:uiPriority w:val="0"/>
    <w:pPr>
      <w:keepNext w:val="0"/>
      <w:keepLines w:val="0"/>
      <w:widowControl/>
      <w:spacing w:line="240" w:lineRule="auto"/>
      <w:ind w:firstLine="0" w:firstLineChars="0"/>
      <w:jc w:val="center"/>
    </w:pPr>
    <w:rPr>
      <w:rFonts w:ascii="Tahoma" w:hAnsi="Tahoma" w:eastAsia="黑体"/>
      <w:color w:val="333399"/>
      <w:kern w:val="0"/>
      <w:sz w:val="18"/>
      <w:szCs w:val="18"/>
    </w:rPr>
  </w:style>
  <w:style w:type="character" w:customStyle="1" w:styleId="48">
    <w:name w:val="页脚 Char"/>
    <w:qFormat/>
    <w:uiPriority w:val="99"/>
    <w:rPr>
      <w:rFonts w:ascii="Times New Roman" w:hAnsi="Times New Roman" w:eastAsia="宋体" w:cs="Times New Roman"/>
      <w:sz w:val="18"/>
      <w:szCs w:val="18"/>
    </w:rPr>
  </w:style>
  <w:style w:type="character" w:customStyle="1" w:styleId="49">
    <w:name w:val="正文文本 字符"/>
    <w:basedOn w:val="20"/>
    <w:link w:val="8"/>
    <w:qFormat/>
    <w:uiPriority w:val="0"/>
    <w:rPr>
      <w:rFonts w:ascii="Times New Roman" w:hAnsi="Times New Roman" w:eastAsia="仿宋_GB2312"/>
      <w:snapToGrid w:val="0"/>
      <w:sz w:val="32"/>
      <w:szCs w:val="32"/>
    </w:rPr>
  </w:style>
  <w:style w:type="paragraph" w:customStyle="1" w:styleId="50">
    <w:name w:val="正文 A"/>
    <w:qFormat/>
    <w:uiPriority w:val="0"/>
    <w:pPr>
      <w:spacing w:after="160" w:line="259" w:lineRule="auto"/>
    </w:pPr>
    <w:rPr>
      <w:rFonts w:ascii="等线" w:hAnsi="等线" w:eastAsia="等线" w:cs="等线"/>
      <w:color w:val="000000"/>
      <w:sz w:val="22"/>
      <w:szCs w:val="22"/>
      <w:lang w:val="en-US" w:eastAsia="zh-CN" w:bidi="ar-SA"/>
    </w:rPr>
  </w:style>
  <w:style w:type="character" w:customStyle="1" w:styleId="51">
    <w:name w:val="页眉 Char"/>
    <w:qFormat/>
    <w:uiPriority w:val="99"/>
    <w:rPr>
      <w:kern w:val="2"/>
      <w:sz w:val="18"/>
      <w:szCs w:val="18"/>
    </w:rPr>
  </w:style>
  <w:style w:type="character" w:customStyle="1" w:styleId="52">
    <w:name w:val="文档结构图 字符"/>
    <w:basedOn w:val="20"/>
    <w:link w:val="6"/>
    <w:semiHidden/>
    <w:qFormat/>
    <w:uiPriority w:val="0"/>
    <w:rPr>
      <w:rFonts w:ascii="Times New Roman" w:hAnsi="Times New Roman"/>
      <w:kern w:val="2"/>
      <w:sz w:val="21"/>
      <w:szCs w:val="24"/>
      <w:shd w:val="clear" w:color="auto" w:fill="000080"/>
    </w:rPr>
  </w:style>
  <w:style w:type="character" w:customStyle="1" w:styleId="53">
    <w:name w:val="脚注文本 字符"/>
    <w:basedOn w:val="20"/>
    <w:link w:val="14"/>
    <w:qFormat/>
    <w:uiPriority w:val="99"/>
    <w:rPr>
      <w:rFonts w:ascii="Times New Roman" w:hAnsi="Times New Roman"/>
      <w:kern w:val="2"/>
      <w:sz w:val="18"/>
      <w:szCs w:val="18"/>
    </w:rPr>
  </w:style>
  <w:style w:type="character" w:customStyle="1" w:styleId="54">
    <w:name w:val="纯文本 字符"/>
    <w:basedOn w:val="20"/>
    <w:link w:val="9"/>
    <w:qFormat/>
    <w:uiPriority w:val="99"/>
    <w:rPr>
      <w:rFonts w:ascii="宋体" w:hAnsi="Courier New" w:cs="Courier New"/>
      <w:kern w:val="2"/>
      <w:sz w:val="21"/>
      <w:szCs w:val="21"/>
    </w:rPr>
  </w:style>
  <w:style w:type="paragraph" w:customStyle="1" w:styleId="55">
    <w:name w:val="列表段落1"/>
    <w:basedOn w:val="1"/>
    <w:qFormat/>
    <w:uiPriority w:val="34"/>
    <w:pPr>
      <w:spacing w:line="240" w:lineRule="auto"/>
      <w:ind w:firstLine="420"/>
    </w:pPr>
    <w:rPr>
      <w:rFonts w:eastAsia="宋体"/>
      <w:sz w:val="21"/>
      <w:szCs w:val="24"/>
    </w:rPr>
  </w:style>
  <w:style w:type="paragraph" w:customStyle="1" w:styleId="56">
    <w:name w:val="王奕改内文"/>
    <w:basedOn w:val="1"/>
    <w:qFormat/>
    <w:uiPriority w:val="0"/>
    <w:pPr>
      <w:widowControl/>
      <w:spacing w:line="360" w:lineRule="auto"/>
    </w:pPr>
    <w:rPr>
      <w:rFonts w:ascii="宋体" w:hAnsi="宋体" w:eastAsia="宋体"/>
      <w:color w:val="000000"/>
      <w:spacing w:val="-4"/>
      <w:kern w:val="0"/>
      <w:sz w:val="24"/>
    </w:rPr>
  </w:style>
  <w:style w:type="character" w:customStyle="1" w:styleId="57">
    <w:name w:val="fontstyle01"/>
    <w:qFormat/>
    <w:uiPriority w:val="0"/>
    <w:rPr>
      <w:i/>
      <w:iCs/>
      <w:color w:val="262424"/>
      <w:sz w:val="20"/>
      <w:szCs w:val="20"/>
    </w:rPr>
  </w:style>
  <w:style w:type="character" w:customStyle="1" w:styleId="58">
    <w:name w:val="fontstyle21"/>
    <w:qFormat/>
    <w:uiPriority w:val="0"/>
    <w:rPr>
      <w:color w:val="262424"/>
      <w:sz w:val="20"/>
      <w:szCs w:val="20"/>
    </w:rPr>
  </w:style>
  <w:style w:type="paragraph" w:customStyle="1" w:styleId="59">
    <w:name w:val="Style21"/>
    <w:basedOn w:val="1"/>
    <w:qFormat/>
    <w:uiPriority w:val="0"/>
    <w:pPr>
      <w:autoSpaceDE w:val="0"/>
      <w:autoSpaceDN w:val="0"/>
      <w:adjustRightInd w:val="0"/>
      <w:spacing w:line="259" w:lineRule="exact"/>
      <w:ind w:firstLine="0" w:firstLineChars="0"/>
      <w:jc w:val="left"/>
    </w:pPr>
    <w:rPr>
      <w:rFonts w:eastAsia="宋体"/>
      <w:kern w:val="0"/>
      <w:sz w:val="24"/>
      <w:szCs w:val="24"/>
    </w:rPr>
  </w:style>
  <w:style w:type="character" w:customStyle="1" w:styleId="60">
    <w:name w:val="Font Style42"/>
    <w:qFormat/>
    <w:uiPriority w:val="0"/>
    <w:rPr>
      <w:rFonts w:ascii="Times New Roman" w:hAnsi="Times New Roman" w:cs="Times New Roman"/>
      <w:b/>
      <w:bCs/>
      <w:sz w:val="20"/>
      <w:szCs w:val="20"/>
    </w:rPr>
  </w:style>
  <w:style w:type="character" w:customStyle="1" w:styleId="61">
    <w:name w:val="批注框文本 Char"/>
    <w:qFormat/>
    <w:uiPriority w:val="0"/>
    <w:rPr>
      <w:rFonts w:ascii="Calibri" w:hAnsi="Calibri" w:eastAsia="宋体"/>
      <w:kern w:val="2"/>
      <w:sz w:val="18"/>
      <w:szCs w:val="18"/>
      <w:lang w:val="en-US" w:eastAsia="zh-CN" w:bidi="ar-SA"/>
    </w:rPr>
  </w:style>
  <w:style w:type="character" w:customStyle="1" w:styleId="62">
    <w:name w:val="列表段落 字符"/>
    <w:link w:val="41"/>
    <w:qFormat/>
    <w:uiPriority w:val="34"/>
    <w:rPr>
      <w:kern w:val="2"/>
      <w:sz w:val="21"/>
      <w:szCs w:val="22"/>
    </w:rPr>
  </w:style>
  <w:style w:type="character" w:customStyle="1" w:styleId="63">
    <w:name w:val="日期 字符"/>
    <w:basedOn w:val="20"/>
    <w:link w:val="10"/>
    <w:qFormat/>
    <w:uiPriority w:val="99"/>
    <w:rPr>
      <w:kern w:val="2"/>
      <w:sz w:val="21"/>
      <w:szCs w:val="22"/>
    </w:rPr>
  </w:style>
  <w:style w:type="paragraph" w:customStyle="1" w:styleId="64">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65">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6">
    <w:name w:val="章标题"/>
    <w:next w:val="43"/>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67">
    <w:name w:val="一级条标题"/>
    <w:basedOn w:val="66"/>
    <w:next w:val="43"/>
    <w:qFormat/>
    <w:uiPriority w:val="0"/>
    <w:pPr>
      <w:numPr>
        <w:ilvl w:val="2"/>
      </w:numPr>
      <w:spacing w:before="0" w:beforeLines="0" w:after="0" w:afterLines="0"/>
      <w:outlineLvl w:val="2"/>
    </w:pPr>
  </w:style>
  <w:style w:type="paragraph" w:customStyle="1" w:styleId="68">
    <w:name w:val="二级条标题"/>
    <w:basedOn w:val="67"/>
    <w:next w:val="43"/>
    <w:qFormat/>
    <w:uiPriority w:val="0"/>
    <w:pPr>
      <w:numPr>
        <w:ilvl w:val="3"/>
      </w:numPr>
      <w:outlineLvl w:val="3"/>
    </w:pPr>
  </w:style>
  <w:style w:type="paragraph" w:customStyle="1" w:styleId="69">
    <w:name w:val="三级条标题"/>
    <w:basedOn w:val="68"/>
    <w:next w:val="43"/>
    <w:qFormat/>
    <w:uiPriority w:val="0"/>
    <w:pPr>
      <w:numPr>
        <w:ilvl w:val="4"/>
      </w:numPr>
      <w:outlineLvl w:val="4"/>
    </w:pPr>
  </w:style>
  <w:style w:type="paragraph" w:customStyle="1" w:styleId="70">
    <w:name w:val="四级条标题"/>
    <w:basedOn w:val="69"/>
    <w:next w:val="43"/>
    <w:qFormat/>
    <w:uiPriority w:val="0"/>
    <w:pPr>
      <w:numPr>
        <w:ilvl w:val="5"/>
      </w:numPr>
      <w:outlineLvl w:val="5"/>
    </w:pPr>
  </w:style>
  <w:style w:type="paragraph" w:customStyle="1" w:styleId="71">
    <w:name w:val="五级条标题"/>
    <w:basedOn w:val="70"/>
    <w:next w:val="43"/>
    <w:qFormat/>
    <w:uiPriority w:val="0"/>
    <w:pPr>
      <w:numPr>
        <w:ilvl w:val="6"/>
      </w:numPr>
      <w:outlineLvl w:val="6"/>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thtfpc</Company>
  <Pages>28</Pages>
  <Words>11563</Words>
  <Characters>1177</Characters>
  <Lines>9</Lines>
  <Paragraphs>25</Paragraphs>
  <TotalTime>2</TotalTime>
  <ScaleCrop>false</ScaleCrop>
  <LinksUpToDate>false</LinksUpToDate>
  <CharactersWithSpaces>12715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2023-06-27T21:35:00Z</dcterms:created>
  <dc:creator>thtfpc user</dc:creator>
  <cp:lastModifiedBy>高田</cp:lastModifiedBy>
  <cp:lastPrinted>2023-03-31T17:45:00Z</cp:lastPrinted>
  <dcterms:modified xsi:type="dcterms:W3CDTF">2023-10-10T05:43:04Z</dcterms:modified>
  <dc:title>微波治疗设备产品注册技术审评要点</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85052C10853E438EA5F84FCA06DAA7C1_12</vt:lpwstr>
  </property>
</Properties>
</file>