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vanish/>
          <w:sz w:val="18"/>
          <w:szCs w:val="18"/>
        </w:rPr>
      </w:pPr>
    </w:p>
    <w:p>
      <w:pPr>
        <w:keepNext w:val="0"/>
        <w:keepLines w:val="0"/>
        <w:widowControl/>
        <w:suppressLineNumbers w:val="0"/>
        <w:pBdr>
          <w:top w:val="none" w:color="auto" w:sz="0" w:space="0"/>
          <w:bottom w:val="none" w:color="auto" w:sz="0" w:space="0"/>
        </w:pBdr>
        <w:shd w:val="clear" w:fill="FFFFFF"/>
        <w:spacing w:before="0" w:beforeAutospacing="0" w:after="0" w:afterAutospacing="0"/>
        <w:ind w:left="0" w:right="0"/>
        <w:jc w:val="left"/>
        <w:rPr>
          <w:sz w:val="18"/>
          <w:szCs w:val="18"/>
        </w:rPr>
      </w:pPr>
    </w:p>
    <w:tbl>
      <w:tblPr>
        <w:tblStyle w:val="7"/>
        <w:tblW w:w="10584" w:type="dxa"/>
        <w:tblCellSpacing w:w="7" w:type="dxa"/>
        <w:tblInd w:w="45" w:type="dxa"/>
        <w:shd w:val="clear" w:color="auto" w:fill="auto"/>
        <w:tblLayout w:type="fixed"/>
        <w:tblCellMar>
          <w:top w:w="45" w:type="dxa"/>
          <w:left w:w="45" w:type="dxa"/>
          <w:bottom w:w="45" w:type="dxa"/>
          <w:right w:w="45" w:type="dxa"/>
        </w:tblCellMar>
      </w:tblPr>
      <w:tblGrid>
        <w:gridCol w:w="10584"/>
      </w:tblGrid>
      <w:tr>
        <w:tblPrEx>
          <w:shd w:val="clear" w:color="auto" w:fill="auto"/>
          <w:tblLayout w:type="fixed"/>
          <w:tblCellMar>
            <w:top w:w="45" w:type="dxa"/>
            <w:left w:w="45" w:type="dxa"/>
            <w:bottom w:w="45" w:type="dxa"/>
            <w:right w:w="45" w:type="dxa"/>
          </w:tblCellMar>
        </w:tblPrEx>
        <w:trPr>
          <w:trHeight w:val="900" w:hRule="atLeast"/>
          <w:tblCellSpacing w:w="7" w:type="dxa"/>
        </w:trPr>
        <w:tc>
          <w:tcPr>
            <w:tcW w:w="10556" w:type="dxa"/>
            <w:shd w:val="clear" w:color="auto" w:fill="auto"/>
            <w:vAlign w:val="center"/>
          </w:tcPr>
          <w:p>
            <w:pPr>
              <w:pStyle w:val="2"/>
              <w:keepNext w:val="0"/>
              <w:keepLines w:val="0"/>
              <w:widowControl/>
              <w:suppressLineNumbers w:val="0"/>
              <w:spacing w:line="405" w:lineRule="atLeast"/>
              <w:jc w:val="center"/>
              <w:rPr>
                <w:rFonts w:hint="eastAsia" w:ascii="微软雅黑" w:hAnsi="微软雅黑" w:eastAsia="微软雅黑" w:cs="微软雅黑"/>
                <w:b/>
                <w:sz w:val="24"/>
                <w:szCs w:val="24"/>
              </w:rPr>
            </w:pPr>
          </w:p>
        </w:tc>
      </w:tr>
      <w:tr>
        <w:tblPrEx>
          <w:tblLayout w:type="fixed"/>
          <w:tblCellMar>
            <w:top w:w="45" w:type="dxa"/>
            <w:left w:w="45" w:type="dxa"/>
            <w:bottom w:w="45" w:type="dxa"/>
            <w:right w:w="45" w:type="dxa"/>
          </w:tblCellMar>
        </w:tblPrEx>
        <w:trPr>
          <w:trHeight w:val="151" w:hRule="atLeast"/>
          <w:tblCellSpacing w:w="7" w:type="dxa"/>
        </w:trPr>
        <w:tc>
          <w:tcPr>
            <w:tcW w:w="10556" w:type="dxa"/>
            <w:shd w:val="clear" w:color="auto" w:fill="auto"/>
            <w:vAlign w:val="center"/>
          </w:tcPr>
          <w:p>
            <w:pPr>
              <w:keepNext w:val="0"/>
              <w:keepLines w:val="0"/>
              <w:widowControl/>
              <w:suppressLineNumbers w:val="0"/>
              <w:jc w:val="center"/>
              <w:rPr>
                <w:sz w:val="18"/>
                <w:szCs w:val="18"/>
              </w:rPr>
            </w:pPr>
          </w:p>
        </w:tc>
      </w:tr>
      <w:tr>
        <w:tblPrEx>
          <w:tblLayout w:type="fixed"/>
          <w:tblCellMar>
            <w:top w:w="45" w:type="dxa"/>
            <w:left w:w="45" w:type="dxa"/>
            <w:bottom w:w="45" w:type="dxa"/>
            <w:right w:w="45" w:type="dxa"/>
          </w:tblCellMar>
        </w:tblPrEx>
        <w:trPr>
          <w:tblCellSpacing w:w="7" w:type="dxa"/>
        </w:trPr>
        <w:tc>
          <w:tcPr>
            <w:tcW w:w="10556" w:type="dxa"/>
            <w:shd w:val="clear" w:color="auto" w:fill="auto"/>
            <w:vAlign w:val="center"/>
          </w:tcPr>
          <w:p>
            <w:pPr>
              <w:pStyle w:val="3"/>
              <w:keepNext w:val="0"/>
              <w:keepLines w:val="0"/>
              <w:widowControl/>
              <w:suppressLineNumbers w:val="0"/>
              <w:spacing w:before="300" w:beforeAutospacing="0" w:after="0" w:afterAutospacing="1" w:line="390" w:lineRule="atLeast"/>
              <w:ind w:left="0" w:right="0"/>
              <w:jc w:val="both"/>
              <w:rPr>
                <w:sz w:val="18"/>
                <w:szCs w:val="18"/>
              </w:rPr>
            </w:pPr>
            <w:bookmarkStart w:id="2" w:name="_GoBack"/>
            <w:bookmarkEnd w:id="2"/>
            <w:r>
              <w:rPr>
                <w:rFonts w:hint="eastAsia" w:ascii="微软雅黑" w:hAnsi="微软雅黑" w:eastAsia="微软雅黑" w:cs="微软雅黑"/>
                <w:kern w:val="0"/>
                <w:sz w:val="21"/>
                <w:szCs w:val="21"/>
                <w:lang w:val="en-US" w:eastAsia="zh-CN" w:bidi="ar"/>
              </w:rPr>
              <w:t>附件4</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jc w:val="center"/>
              <w:rPr>
                <w:sz w:val="18"/>
                <w:szCs w:val="18"/>
              </w:rPr>
            </w:pPr>
            <w:r>
              <w:rPr>
                <w:rFonts w:hint="eastAsia" w:ascii="微软雅黑" w:hAnsi="微软雅黑" w:eastAsia="微软雅黑" w:cs="微软雅黑"/>
                <w:kern w:val="0"/>
                <w:sz w:val="21"/>
                <w:szCs w:val="21"/>
                <w:lang w:val="en-US" w:eastAsia="zh-CN" w:bidi="ar"/>
              </w:rPr>
              <w:t>血液流变仪血液黏度计产品技术审评</w:t>
            </w:r>
            <w:r>
              <w:rPr>
                <w:rFonts w:hint="default" w:ascii="方正小标宋简体" w:hAnsi="方正小标宋简体" w:eastAsia="方正小标宋简体" w:cs="方正小标宋简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jc w:val="center"/>
              <w:rPr>
                <w:sz w:val="18"/>
                <w:szCs w:val="18"/>
              </w:rPr>
            </w:pPr>
            <w:r>
              <w:rPr>
                <w:rFonts w:hint="eastAsia" w:ascii="微软雅黑" w:hAnsi="微软雅黑" w:eastAsia="微软雅黑" w:cs="微软雅黑"/>
                <w:kern w:val="0"/>
                <w:sz w:val="21"/>
                <w:szCs w:val="21"/>
                <w:lang w:val="en-US" w:eastAsia="zh-CN" w:bidi="ar"/>
              </w:rPr>
              <w:t>规范（2017版）（征求意见稿）</w:t>
            </w:r>
            <w:r>
              <w:rPr>
                <w:rFonts w:hint="default" w:ascii="方正小标宋简体" w:hAnsi="方正小标宋简体" w:eastAsia="方正小标宋简体" w:cs="方正小标宋简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根据《医疗器械注册管理办法》（国家食品药品监督管理总局令第5号）的要求并结合血液流变仪/血液黏度计的特点，为规范该类产品的技术审查工作和指导该类产品的注册申报工作，特制定本规范。</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一、适用范围</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本规范适用于对血液样品进行全血黏度和(或)血浆黏度检测的血液流变仪/血液黏度计（以下简称流变仪/黏度计）。依据《医疗器械分类目录》（国药监械〔2002〕302号）该产品管理类别为II类，产品类代号为6840-1。</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流变仪/黏度计测定原理为旋转法和（或）毛细管法；操作方式有全自动和半自动。</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二、技术审查要点</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（一）产品名称的要求</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both"/>
              <w:rPr>
                <w:sz w:val="18"/>
                <w:szCs w:val="18"/>
              </w:rPr>
            </w:pPr>
            <w:r>
              <w:rPr>
                <w:rFonts w:hint="eastAsia" w:ascii="微软雅黑" w:hAnsi="微软雅黑" w:eastAsia="微软雅黑" w:cs="微软雅黑"/>
                <w:kern w:val="0"/>
                <w:sz w:val="21"/>
                <w:szCs w:val="21"/>
                <w:lang w:val="en-US" w:eastAsia="zh-CN" w:bidi="ar"/>
              </w:rPr>
              <w:t>流变仪/黏度计的产品名称表达方式应为：</w:t>
            </w:r>
            <w:r>
              <w:rPr>
                <w:rFonts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（二）产品的结构和组成</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流变仪/黏度计可包括机械部分、测量部分、温控装置部分、控制部分。其中旋转法测量部分的旋转装置为锥-板式、筒-筒式等。毛细管法测量部分包括毛细管和储液池等。</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（三）产品工作原理</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旋转法由两个同心的表面构成，其中一个可旋转。两个表面可为筒-筒式，或为锥-板式等。以筒-筒式为例，当旋转式黏度计中同心的两个圆筒之一以一定转速旋转时，给血样一个剪切力并使其产生分层流动。血液分层流动把转动造成的力矩传到圆筒，这时圆筒会随之偏转一定的角度，血液黏度越大，则外筒转动传到内筒的力矩越大，内筒偏转角度也越大。所以，在偏转角度与力矩之间以及力矩与样品的黏度之间呈正比关系。</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旋转法测定血液黏度的原理依据牛顿黏性定律，即：</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其中，</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kern w:val="0"/>
                <w:sz w:val="21"/>
                <w:szCs w:val="21"/>
                <w:lang w:val="en-US" w:eastAsia="zh-CN" w:bidi="ar"/>
              </w:rPr>
              <w:t>为切应力，</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kern w:val="0"/>
                <w:sz w:val="21"/>
                <w:szCs w:val="21"/>
                <w:lang w:val="en-US" w:eastAsia="zh-CN" w:bidi="ar"/>
              </w:rPr>
              <w:t>为流体的黏度系数，</w:t>
            </w:r>
            <w:r>
              <w:rPr>
                <w:rFonts w:hint="default" w:ascii="仿宋_GB2312" w:eastAsia="仿宋_GB2312" w:cs="仿宋_GB2312"/>
                <w:kern w:val="0"/>
                <w:sz w:val="18"/>
                <w:szCs w:val="18"/>
                <w:lang w:val="en-US" w:eastAsia="zh-CN" w:bidi="ar"/>
              </w:rPr>
              <w:t xml:space="preserve"> </w:t>
            </w:r>
            <w:r>
              <w:rPr>
                <w:rFonts w:hint="eastAsia" w:ascii="微软雅黑" w:hAnsi="微软雅黑" w:eastAsia="微软雅黑" w:cs="微软雅黑"/>
                <w:kern w:val="0"/>
                <w:sz w:val="21"/>
                <w:szCs w:val="21"/>
                <w:lang w:val="en-US" w:eastAsia="zh-CN" w:bidi="ar"/>
              </w:rPr>
              <w:t>为切变率。</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毛细管法测定原理遵循泊肃叶定律，反映的是平均切变率。一定体积的液体，在恒定的压力驱动下，流过一定管径的毛细管所需的时间与黏度成正比。</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η=πPR</w:t>
            </w:r>
            <w:r>
              <w:rPr>
                <w:rFonts w:hint="eastAsia" w:ascii="微软雅黑" w:hAnsi="微软雅黑" w:eastAsia="微软雅黑" w:cs="微软雅黑"/>
                <w:kern w:val="0"/>
                <w:sz w:val="21"/>
                <w:szCs w:val="21"/>
                <w:vertAlign w:val="superscript"/>
                <w:lang w:val="en-US" w:eastAsia="zh-CN" w:bidi="ar"/>
              </w:rPr>
              <w:t>4</w:t>
            </w:r>
            <w:r>
              <w:rPr>
                <w:rFonts w:hint="eastAsia" w:ascii="微软雅黑" w:hAnsi="微软雅黑" w:eastAsia="微软雅黑" w:cs="微软雅黑"/>
                <w:kern w:val="0"/>
                <w:sz w:val="21"/>
                <w:szCs w:val="21"/>
                <w:lang w:val="en-US" w:eastAsia="zh-CN" w:bidi="ar"/>
              </w:rPr>
              <w:t>t/8lV</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式中η是液体的黏度;R为管的半径;P为促使液体在管中流动的压力;t是流出时间;V是流过的体积;l是管的长度。</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（四）注册单元划分的原则和实例</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流变仪/黏度计的注册单元原则上以技术原理、结构组成、性能指标、适用范围为划分注册单元的依据。</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如：全自动流变仪与半自动流变仪不应划分为同一注册单元。</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（五）产品适用的相关标准</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流变仪/黏度计根据产品自身特点适用以下相关标准：</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1.GB/T191-2008包装储运图示标志</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 xml:space="preserve">2.GB4793.1-2007测量、控制和试验室用电气设备的安全要求第1部分：通用要求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3.GB4793.6-2008测量、控制和实验室用电气设备的安全要求 第6部分：实验室用材料加热设备的特殊要求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4.GB4793.9-2013测量、控制和实验室用电气设备的安全要求 第9部分：实验室用分析和其他目的自动和半自动设备的特殊要求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5.GB/T14710-2009医用电气设备环境要求及试验方法</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6. GB/T 18268.1-2010测量、控制和实验室用的电设备 电磁兼容性要求 第1部分：通用要求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7. GB/T 18268.26-2010测量、控制和实验室用的电设备 电磁兼容性要求 第26部分：特殊要求 体外诊断(IVD)医疗设备</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8. YY/T 0316-2016医疗器械风险管理对医疗器械的应用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9. YY/T 0466.1-2009医疗器械 用于医疗器械标签、标记和提供信息的符号 第1部分：通用要求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10.YY0648-2008测量、控制和实验室用电气设备的安全要求 第2-101部分：体外诊断（IVD）医用设备的专用要求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11. YY/T 1460-2016血液流变仪</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（六）产品的适用范围/预期用途、禁忌症</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流变仪/黏度计用于测试全血和(或)血浆黏度。</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产品禁忌症：暂未发现。</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（七）产品的主要风险</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流变仪/黏度计在进行风险分析时应依据YY/T0316-2016《医疗器械风险管理对医疗器械的应用》，至少应包括表1内容，企业还应根据产品的自身特点确定其他危害。</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表1血液流变仪/血液黏度计风险分析时应考虑的主要危害</w:t>
            </w:r>
            <w:r>
              <w:rPr>
                <w:rFonts w:hint="eastAsia" w:ascii="宋体" w:hAnsi="宋体" w:eastAsia="宋体" w:cs="宋体"/>
                <w:kern w:val="0"/>
                <w:sz w:val="18"/>
                <w:szCs w:val="18"/>
                <w:lang w:val="en-US" w:eastAsia="zh-CN" w:bidi="ar"/>
              </w:rPr>
              <w:t xml:space="preserve"> </w:t>
            </w:r>
          </w:p>
          <w:tbl>
            <w:tblPr>
              <w:tblStyle w:val="7"/>
              <w:tblW w:w="10465"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992"/>
              <w:gridCol w:w="2537"/>
              <w:gridCol w:w="2407"/>
              <w:gridCol w:w="35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blCellSpacing w:w="15" w:type="dxa"/>
              </w:trPr>
              <w:tc>
                <w:tcPr>
                  <w:tcW w:w="4484"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left"/>
                    <w:rPr>
                      <w:sz w:val="18"/>
                      <w:szCs w:val="18"/>
                    </w:rPr>
                  </w:pPr>
                  <w:r>
                    <w:rPr>
                      <w:rFonts w:hint="eastAsia" w:ascii="微软雅黑" w:hAnsi="微软雅黑" w:eastAsia="微软雅黑" w:cs="微软雅黑"/>
                      <w:kern w:val="0"/>
                      <w:sz w:val="21"/>
                      <w:szCs w:val="21"/>
                      <w:lang w:val="en-US" w:eastAsia="zh-CN" w:bidi="ar"/>
                    </w:rPr>
                    <w:t>可能的危害</w:t>
                  </w:r>
                  <w:r>
                    <w:rPr>
                      <w:rFonts w:hint="eastAsia" w:ascii="宋体" w:hAnsi="宋体" w:eastAsia="宋体" w:cs="宋体"/>
                      <w:kern w:val="0"/>
                      <w:sz w:val="18"/>
                      <w:szCs w:val="18"/>
                      <w:lang w:val="en-US" w:eastAsia="zh-CN" w:bidi="ar"/>
                    </w:rPr>
                    <w:t xml:space="preserve"> </w:t>
                  </w:r>
                </w:p>
              </w:tc>
              <w:tc>
                <w:tcPr>
                  <w:tcW w:w="237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left"/>
                    <w:rPr>
                      <w:sz w:val="18"/>
                      <w:szCs w:val="18"/>
                    </w:rPr>
                  </w:pPr>
                  <w:r>
                    <w:rPr>
                      <w:rFonts w:hint="eastAsia" w:ascii="微软雅黑" w:hAnsi="微软雅黑" w:eastAsia="微软雅黑" w:cs="微软雅黑"/>
                      <w:kern w:val="0"/>
                      <w:sz w:val="21"/>
                      <w:szCs w:val="21"/>
                      <w:lang w:val="en-US" w:eastAsia="zh-CN" w:bidi="ar"/>
                    </w:rPr>
                    <w:t>可能的原因</w:t>
                  </w:r>
                  <w:r>
                    <w:rPr>
                      <w:rFonts w:hint="eastAsia" w:ascii="宋体" w:hAnsi="宋体" w:eastAsia="宋体" w:cs="宋体"/>
                      <w:kern w:val="0"/>
                      <w:sz w:val="18"/>
                      <w:szCs w:val="18"/>
                      <w:lang w:val="en-US" w:eastAsia="zh-CN" w:bidi="ar"/>
                    </w:rPr>
                    <w:t xml:space="preserve"> </w:t>
                  </w:r>
                </w:p>
              </w:tc>
              <w:tc>
                <w:tcPr>
                  <w:tcW w:w="348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left"/>
                    <w:rPr>
                      <w:sz w:val="18"/>
                      <w:szCs w:val="18"/>
                    </w:rPr>
                  </w:pPr>
                  <w:r>
                    <w:rPr>
                      <w:rFonts w:hint="eastAsia" w:ascii="微软雅黑" w:hAnsi="微软雅黑" w:eastAsia="微软雅黑" w:cs="微软雅黑"/>
                      <w:kern w:val="0"/>
                      <w:sz w:val="21"/>
                      <w:szCs w:val="21"/>
                      <w:lang w:val="en-US" w:eastAsia="zh-CN" w:bidi="ar"/>
                    </w:rPr>
                    <w:t>造成的后果</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947" w:type="dxa"/>
                  <w:vMerge w:val="restart"/>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能量危害</w:t>
                  </w:r>
                  <w:r>
                    <w:rPr>
                      <w:rFonts w:hint="eastAsia" w:ascii="宋体" w:hAnsi="宋体" w:eastAsia="宋体" w:cs="宋体"/>
                      <w:kern w:val="0"/>
                      <w:sz w:val="18"/>
                      <w:szCs w:val="18"/>
                      <w:lang w:val="en-US" w:eastAsia="zh-CN" w:bidi="ar"/>
                    </w:rPr>
                    <w:t xml:space="preserve"> </w:t>
                  </w:r>
                </w:p>
              </w:tc>
              <w:tc>
                <w:tcPr>
                  <w:tcW w:w="250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电能</w:t>
                  </w:r>
                  <w:r>
                    <w:rPr>
                      <w:rFonts w:hint="eastAsia" w:ascii="宋体" w:hAnsi="宋体" w:eastAsia="宋体" w:cs="宋体"/>
                      <w:kern w:val="0"/>
                      <w:sz w:val="18"/>
                      <w:szCs w:val="18"/>
                      <w:lang w:val="en-US" w:eastAsia="zh-CN" w:bidi="ar"/>
                    </w:rPr>
                    <w:t xml:space="preserve"> </w:t>
                  </w:r>
                </w:p>
              </w:tc>
              <w:tc>
                <w:tcPr>
                  <w:tcW w:w="237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电击</w:t>
                  </w:r>
                  <w:r>
                    <w:rPr>
                      <w:rFonts w:hint="eastAsia" w:ascii="宋体" w:hAnsi="宋体" w:eastAsia="宋体" w:cs="宋体"/>
                      <w:kern w:val="0"/>
                      <w:sz w:val="18"/>
                      <w:szCs w:val="18"/>
                      <w:lang w:val="en-US" w:eastAsia="zh-CN" w:bidi="ar"/>
                    </w:rPr>
                    <w:t xml:space="preserve"> </w:t>
                  </w:r>
                </w:p>
              </w:tc>
              <w:tc>
                <w:tcPr>
                  <w:tcW w:w="348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使用者电击伤。</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947" w:type="dxa"/>
                  <w:vMerge w:val="continue"/>
                  <w:shd w:val="clear" w:color="auto" w:fill="auto"/>
                  <w:vAlign w:val="center"/>
                </w:tcPr>
                <w:p>
                  <w:pPr>
                    <w:rPr>
                      <w:rFonts w:hint="eastAsia" w:ascii="宋体"/>
                      <w:sz w:val="18"/>
                      <w:szCs w:val="18"/>
                    </w:rPr>
                  </w:pPr>
                </w:p>
              </w:tc>
              <w:tc>
                <w:tcPr>
                  <w:tcW w:w="250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机械能</w:t>
                  </w:r>
                  <w:r>
                    <w:rPr>
                      <w:rFonts w:hint="eastAsia" w:ascii="宋体" w:hAnsi="宋体" w:eastAsia="宋体" w:cs="宋体"/>
                      <w:kern w:val="0"/>
                      <w:sz w:val="18"/>
                      <w:szCs w:val="18"/>
                      <w:lang w:val="en-US" w:eastAsia="zh-CN" w:bidi="ar"/>
                    </w:rPr>
                    <w:t xml:space="preserve"> </w:t>
                  </w:r>
                </w:p>
              </w:tc>
              <w:tc>
                <w:tcPr>
                  <w:tcW w:w="237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部件运动过程中触碰</w:t>
                  </w:r>
                  <w:r>
                    <w:rPr>
                      <w:rFonts w:hint="eastAsia" w:ascii="宋体" w:hAnsi="宋体" w:eastAsia="宋体" w:cs="宋体"/>
                      <w:kern w:val="0"/>
                      <w:sz w:val="18"/>
                      <w:szCs w:val="18"/>
                      <w:lang w:val="en-US" w:eastAsia="zh-CN" w:bidi="ar"/>
                    </w:rPr>
                    <w:t xml:space="preserve"> </w:t>
                  </w:r>
                </w:p>
              </w:tc>
              <w:tc>
                <w:tcPr>
                  <w:tcW w:w="348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使用者碰撞伤。</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947" w:type="dxa"/>
                  <w:vMerge w:val="restart"/>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环境危害</w:t>
                  </w:r>
                  <w:r>
                    <w:rPr>
                      <w:rFonts w:hint="eastAsia" w:ascii="宋体" w:hAnsi="宋体" w:eastAsia="宋体" w:cs="宋体"/>
                      <w:kern w:val="0"/>
                      <w:sz w:val="18"/>
                      <w:szCs w:val="18"/>
                      <w:lang w:val="en-US" w:eastAsia="zh-CN" w:bidi="ar"/>
                    </w:rPr>
                    <w:t xml:space="preserve"> </w:t>
                  </w:r>
                </w:p>
              </w:tc>
              <w:tc>
                <w:tcPr>
                  <w:tcW w:w="250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电磁辐射</w:t>
                  </w:r>
                  <w:r>
                    <w:rPr>
                      <w:rFonts w:hint="eastAsia" w:ascii="宋体" w:hAnsi="宋体" w:eastAsia="宋体" w:cs="宋体"/>
                      <w:kern w:val="0"/>
                      <w:sz w:val="18"/>
                      <w:szCs w:val="18"/>
                      <w:lang w:val="en-US" w:eastAsia="zh-CN" w:bidi="ar"/>
                    </w:rPr>
                    <w:t xml:space="preserve"> </w:t>
                  </w:r>
                </w:p>
              </w:tc>
              <w:tc>
                <w:tcPr>
                  <w:tcW w:w="237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仪器产生的电磁强度超标或保护元件破损。</w:t>
                  </w:r>
                  <w:r>
                    <w:rPr>
                      <w:rFonts w:hint="eastAsia" w:ascii="宋体" w:hAnsi="宋体" w:eastAsia="宋体" w:cs="宋体"/>
                      <w:kern w:val="0"/>
                      <w:sz w:val="18"/>
                      <w:szCs w:val="18"/>
                      <w:lang w:val="en-US" w:eastAsia="zh-CN" w:bidi="ar"/>
                    </w:rPr>
                    <w:t xml:space="preserve"> </w:t>
                  </w:r>
                </w:p>
              </w:tc>
              <w:tc>
                <w:tcPr>
                  <w:tcW w:w="348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对操作者健康或周边设备的正常使用造成影响。</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947" w:type="dxa"/>
                  <w:vMerge w:val="continue"/>
                  <w:shd w:val="clear" w:color="auto" w:fill="auto"/>
                  <w:vAlign w:val="center"/>
                </w:tcPr>
                <w:p>
                  <w:pPr>
                    <w:rPr>
                      <w:rFonts w:hint="eastAsia" w:ascii="宋体"/>
                      <w:sz w:val="18"/>
                      <w:szCs w:val="18"/>
                    </w:rPr>
                  </w:pPr>
                </w:p>
              </w:tc>
              <w:tc>
                <w:tcPr>
                  <w:tcW w:w="250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噪声污染</w:t>
                  </w:r>
                  <w:r>
                    <w:rPr>
                      <w:rFonts w:hint="eastAsia" w:ascii="宋体" w:hAnsi="宋体" w:eastAsia="宋体" w:cs="宋体"/>
                      <w:kern w:val="0"/>
                      <w:sz w:val="18"/>
                      <w:szCs w:val="18"/>
                      <w:lang w:val="en-US" w:eastAsia="zh-CN" w:bidi="ar"/>
                    </w:rPr>
                    <w:t xml:space="preserve"> </w:t>
                  </w:r>
                </w:p>
              </w:tc>
              <w:tc>
                <w:tcPr>
                  <w:tcW w:w="237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由于各种原因导致的噪声超出国家标准。</w:t>
                  </w:r>
                  <w:r>
                    <w:rPr>
                      <w:rFonts w:hint="eastAsia" w:ascii="宋体" w:hAnsi="宋体" w:eastAsia="宋体" w:cs="宋体"/>
                      <w:kern w:val="0"/>
                      <w:sz w:val="18"/>
                      <w:szCs w:val="18"/>
                      <w:lang w:val="en-US" w:eastAsia="zh-CN" w:bidi="ar"/>
                    </w:rPr>
                    <w:t xml:space="preserve"> </w:t>
                  </w:r>
                </w:p>
              </w:tc>
              <w:tc>
                <w:tcPr>
                  <w:tcW w:w="348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对操作者听力造成损伤。</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947" w:type="dxa"/>
                  <w:vMerge w:val="continue"/>
                  <w:shd w:val="clear" w:color="auto" w:fill="auto"/>
                  <w:vAlign w:val="center"/>
                </w:tcPr>
                <w:p>
                  <w:pPr>
                    <w:rPr>
                      <w:rFonts w:hint="eastAsia" w:ascii="宋体"/>
                      <w:sz w:val="18"/>
                      <w:szCs w:val="18"/>
                    </w:rPr>
                  </w:pPr>
                </w:p>
              </w:tc>
              <w:tc>
                <w:tcPr>
                  <w:tcW w:w="250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由于废物和/或医疗器械处置造成的污染。</w:t>
                  </w:r>
                  <w:r>
                    <w:rPr>
                      <w:rFonts w:hint="eastAsia" w:ascii="宋体" w:hAnsi="宋体" w:eastAsia="宋体" w:cs="宋体"/>
                      <w:kern w:val="0"/>
                      <w:sz w:val="18"/>
                      <w:szCs w:val="18"/>
                      <w:lang w:val="en-US" w:eastAsia="zh-CN" w:bidi="ar"/>
                    </w:rPr>
                    <w:t xml:space="preserve"> </w:t>
                  </w:r>
                </w:p>
              </w:tc>
              <w:tc>
                <w:tcPr>
                  <w:tcW w:w="237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废弃物处理不当。</w:t>
                  </w:r>
                  <w:r>
                    <w:rPr>
                      <w:rFonts w:hint="eastAsia" w:ascii="宋体" w:hAnsi="宋体" w:eastAsia="宋体" w:cs="宋体"/>
                      <w:kern w:val="0"/>
                      <w:sz w:val="18"/>
                      <w:szCs w:val="18"/>
                      <w:lang w:val="en-US" w:eastAsia="zh-CN" w:bidi="ar"/>
                    </w:rPr>
                    <w:t xml:space="preserve"> </w:t>
                  </w:r>
                </w:p>
              </w:tc>
              <w:tc>
                <w:tcPr>
                  <w:tcW w:w="348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污染环境，产生生物学危害。</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94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生物学危害</w:t>
                  </w:r>
                  <w:r>
                    <w:rPr>
                      <w:rFonts w:hint="eastAsia" w:ascii="宋体" w:hAnsi="宋体" w:eastAsia="宋体" w:cs="宋体"/>
                      <w:kern w:val="0"/>
                      <w:sz w:val="18"/>
                      <w:szCs w:val="18"/>
                      <w:lang w:val="en-US" w:eastAsia="zh-CN" w:bidi="ar"/>
                    </w:rPr>
                    <w:t xml:space="preserve"> </w:t>
                  </w:r>
                </w:p>
              </w:tc>
              <w:tc>
                <w:tcPr>
                  <w:tcW w:w="250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生物污染</w:t>
                  </w:r>
                  <w:r>
                    <w:rPr>
                      <w:rFonts w:hint="eastAsia" w:ascii="宋体" w:hAnsi="宋体" w:eastAsia="宋体" w:cs="宋体"/>
                      <w:kern w:val="0"/>
                      <w:sz w:val="18"/>
                      <w:szCs w:val="18"/>
                      <w:lang w:val="en-US" w:eastAsia="zh-CN" w:bidi="ar"/>
                    </w:rPr>
                    <w:t xml:space="preserve"> </w:t>
                  </w:r>
                </w:p>
              </w:tc>
              <w:tc>
                <w:tcPr>
                  <w:tcW w:w="237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标本遗洒、人工冲洗、样品针刺伤。</w:t>
                  </w:r>
                  <w:r>
                    <w:rPr>
                      <w:rFonts w:hint="eastAsia" w:ascii="宋体" w:hAnsi="宋体" w:eastAsia="宋体" w:cs="宋体"/>
                      <w:kern w:val="0"/>
                      <w:sz w:val="18"/>
                      <w:szCs w:val="18"/>
                      <w:lang w:val="en-US" w:eastAsia="zh-CN" w:bidi="ar"/>
                    </w:rPr>
                    <w:t xml:space="preserve"> </w:t>
                  </w:r>
                </w:p>
              </w:tc>
              <w:tc>
                <w:tcPr>
                  <w:tcW w:w="348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造成使用者感染。</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947" w:type="dxa"/>
                  <w:vMerge w:val="restart"/>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与医疗器械使用有关的危害</w:t>
                  </w:r>
                  <w:r>
                    <w:rPr>
                      <w:rFonts w:hint="eastAsia" w:ascii="宋体" w:hAnsi="宋体" w:eastAsia="宋体" w:cs="宋体"/>
                      <w:kern w:val="0"/>
                      <w:sz w:val="18"/>
                      <w:szCs w:val="18"/>
                      <w:lang w:val="en-US" w:eastAsia="zh-CN" w:bidi="ar"/>
                    </w:rPr>
                    <w:t xml:space="preserve"> </w:t>
                  </w:r>
                </w:p>
              </w:tc>
              <w:tc>
                <w:tcPr>
                  <w:tcW w:w="250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不适当的标记。</w:t>
                  </w:r>
                  <w:r>
                    <w:rPr>
                      <w:rFonts w:hint="eastAsia" w:ascii="宋体" w:hAnsi="宋体" w:eastAsia="宋体" w:cs="宋体"/>
                      <w:kern w:val="0"/>
                      <w:sz w:val="18"/>
                      <w:szCs w:val="18"/>
                      <w:lang w:val="en-US" w:eastAsia="zh-CN" w:bidi="ar"/>
                    </w:rPr>
                    <w:t xml:space="preserve"> </w:t>
                  </w:r>
                </w:p>
              </w:tc>
              <w:tc>
                <w:tcPr>
                  <w:tcW w:w="237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标记不明显。</w:t>
                  </w:r>
                  <w:r>
                    <w:rPr>
                      <w:rFonts w:hint="eastAsia" w:ascii="宋体" w:hAnsi="宋体" w:eastAsia="宋体" w:cs="宋体"/>
                      <w:kern w:val="0"/>
                      <w:sz w:val="18"/>
                      <w:szCs w:val="18"/>
                      <w:lang w:val="en-US" w:eastAsia="zh-CN" w:bidi="ar"/>
                    </w:rPr>
                    <w:t xml:space="preserve"> </w:t>
                  </w:r>
                </w:p>
              </w:tc>
              <w:tc>
                <w:tcPr>
                  <w:tcW w:w="348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按键被使用者误读误按。</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947" w:type="dxa"/>
                  <w:vMerge w:val="continue"/>
                  <w:shd w:val="clear" w:color="auto" w:fill="auto"/>
                  <w:vAlign w:val="center"/>
                </w:tcPr>
                <w:p>
                  <w:pPr>
                    <w:rPr>
                      <w:rFonts w:hint="eastAsia" w:ascii="宋体"/>
                      <w:sz w:val="18"/>
                      <w:szCs w:val="18"/>
                    </w:rPr>
                  </w:pPr>
                </w:p>
              </w:tc>
              <w:tc>
                <w:tcPr>
                  <w:tcW w:w="250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不适当的操作说明。</w:t>
                  </w:r>
                  <w:r>
                    <w:rPr>
                      <w:rFonts w:hint="eastAsia" w:ascii="宋体" w:hAnsi="宋体" w:eastAsia="宋体" w:cs="宋体"/>
                      <w:kern w:val="0"/>
                      <w:sz w:val="18"/>
                      <w:szCs w:val="18"/>
                      <w:lang w:val="en-US" w:eastAsia="zh-CN" w:bidi="ar"/>
                    </w:rPr>
                    <w:t xml:space="preserve"> </w:t>
                  </w:r>
                </w:p>
              </w:tc>
              <w:tc>
                <w:tcPr>
                  <w:tcW w:w="237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操作说明书过于复杂。</w:t>
                  </w:r>
                  <w:r>
                    <w:rPr>
                      <w:rFonts w:hint="eastAsia" w:ascii="宋体" w:hAnsi="宋体" w:eastAsia="宋体" w:cs="宋体"/>
                      <w:kern w:val="0"/>
                      <w:sz w:val="18"/>
                      <w:szCs w:val="18"/>
                      <w:lang w:val="en-US" w:eastAsia="zh-CN" w:bidi="ar"/>
                    </w:rPr>
                    <w:t xml:space="preserve"> </w:t>
                  </w:r>
                </w:p>
              </w:tc>
              <w:tc>
                <w:tcPr>
                  <w:tcW w:w="348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使用者无法按照说明书进行操作。</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947" w:type="dxa"/>
                  <w:vMerge w:val="continue"/>
                  <w:shd w:val="clear" w:color="auto" w:fill="auto"/>
                  <w:vAlign w:val="center"/>
                </w:tcPr>
                <w:p>
                  <w:pPr>
                    <w:rPr>
                      <w:rFonts w:hint="eastAsia" w:ascii="宋体"/>
                      <w:sz w:val="18"/>
                      <w:szCs w:val="18"/>
                    </w:rPr>
                  </w:pPr>
                </w:p>
              </w:tc>
              <w:tc>
                <w:tcPr>
                  <w:tcW w:w="250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由不熟练/未经训练的人员使用。</w:t>
                  </w:r>
                  <w:r>
                    <w:rPr>
                      <w:rFonts w:hint="eastAsia" w:ascii="宋体" w:hAnsi="宋体" w:eastAsia="宋体" w:cs="宋体"/>
                      <w:kern w:val="0"/>
                      <w:sz w:val="18"/>
                      <w:szCs w:val="18"/>
                      <w:lang w:val="en-US" w:eastAsia="zh-CN" w:bidi="ar"/>
                    </w:rPr>
                    <w:t xml:space="preserve"> </w:t>
                  </w:r>
                </w:p>
              </w:tc>
              <w:tc>
                <w:tcPr>
                  <w:tcW w:w="237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未对使用者进行培训或者使用者未阅读说明书。</w:t>
                  </w:r>
                  <w:r>
                    <w:rPr>
                      <w:rFonts w:hint="eastAsia" w:ascii="宋体" w:hAnsi="宋体" w:eastAsia="宋体" w:cs="宋体"/>
                      <w:kern w:val="0"/>
                      <w:sz w:val="18"/>
                      <w:szCs w:val="18"/>
                      <w:lang w:val="en-US" w:eastAsia="zh-CN" w:bidi="ar"/>
                    </w:rPr>
                    <w:t xml:space="preserve"> </w:t>
                  </w:r>
                </w:p>
              </w:tc>
              <w:tc>
                <w:tcPr>
                  <w:tcW w:w="348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仪器无法被正确使用。</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947" w:type="dxa"/>
                  <w:vMerge w:val="continue"/>
                  <w:shd w:val="clear" w:color="auto" w:fill="auto"/>
                  <w:vAlign w:val="center"/>
                </w:tcPr>
                <w:p>
                  <w:pPr>
                    <w:rPr>
                      <w:rFonts w:hint="eastAsia" w:ascii="宋体"/>
                      <w:sz w:val="18"/>
                      <w:szCs w:val="18"/>
                    </w:rPr>
                  </w:pPr>
                </w:p>
              </w:tc>
              <w:tc>
                <w:tcPr>
                  <w:tcW w:w="250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使用不适当的标准物质。</w:t>
                  </w:r>
                  <w:r>
                    <w:rPr>
                      <w:rFonts w:hint="eastAsia" w:ascii="宋体" w:hAnsi="宋体" w:eastAsia="宋体" w:cs="宋体"/>
                      <w:kern w:val="0"/>
                      <w:sz w:val="18"/>
                      <w:szCs w:val="18"/>
                      <w:lang w:val="en-US" w:eastAsia="zh-CN" w:bidi="ar"/>
                    </w:rPr>
                    <w:t xml:space="preserve"> </w:t>
                  </w:r>
                </w:p>
              </w:tc>
              <w:tc>
                <w:tcPr>
                  <w:tcW w:w="237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未使用适当的标准物质。</w:t>
                  </w:r>
                  <w:r>
                    <w:rPr>
                      <w:rFonts w:hint="eastAsia" w:ascii="宋体" w:hAnsi="宋体" w:eastAsia="宋体" w:cs="宋体"/>
                      <w:kern w:val="0"/>
                      <w:sz w:val="18"/>
                      <w:szCs w:val="18"/>
                      <w:lang w:val="en-US" w:eastAsia="zh-CN" w:bidi="ar"/>
                    </w:rPr>
                    <w:t xml:space="preserve"> </w:t>
                  </w:r>
                </w:p>
              </w:tc>
              <w:tc>
                <w:tcPr>
                  <w:tcW w:w="348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如果使用的标准物质不正确或方法不当，会导致测量结果的不准确。</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94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不适当、不合适或过于复杂的使用者接口</w:t>
                  </w:r>
                  <w:r>
                    <w:rPr>
                      <w:rFonts w:hint="eastAsia" w:ascii="宋体" w:hAnsi="宋体" w:eastAsia="宋体" w:cs="宋体"/>
                      <w:kern w:val="0"/>
                      <w:sz w:val="18"/>
                      <w:szCs w:val="18"/>
                      <w:lang w:val="en-US" w:eastAsia="zh-CN" w:bidi="ar"/>
                    </w:rPr>
                    <w:t xml:space="preserve"> </w:t>
                  </w:r>
                </w:p>
              </w:tc>
              <w:tc>
                <w:tcPr>
                  <w:tcW w:w="250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视觉、听觉或触觉的不充分。</w:t>
                  </w:r>
                  <w:r>
                    <w:rPr>
                      <w:rFonts w:hint="eastAsia" w:ascii="宋体" w:hAnsi="宋体" w:eastAsia="宋体" w:cs="宋体"/>
                      <w:kern w:val="0"/>
                      <w:sz w:val="18"/>
                      <w:szCs w:val="18"/>
                      <w:lang w:val="en-US" w:eastAsia="zh-CN" w:bidi="ar"/>
                    </w:rPr>
                    <w:t xml:space="preserve"> </w:t>
                  </w:r>
                </w:p>
              </w:tc>
              <w:tc>
                <w:tcPr>
                  <w:tcW w:w="237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显示、声音提示不清。</w:t>
                  </w:r>
                  <w:r>
                    <w:rPr>
                      <w:rFonts w:hint="eastAsia" w:ascii="宋体" w:hAnsi="宋体" w:eastAsia="宋体" w:cs="宋体"/>
                      <w:kern w:val="0"/>
                      <w:sz w:val="18"/>
                      <w:szCs w:val="18"/>
                      <w:lang w:val="en-US" w:eastAsia="zh-CN" w:bidi="ar"/>
                    </w:rPr>
                    <w:t xml:space="preserve"> </w:t>
                  </w:r>
                </w:p>
              </w:tc>
              <w:tc>
                <w:tcPr>
                  <w:tcW w:w="348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按键被使用者误读误按。</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947" w:type="dxa"/>
                  <w:vMerge w:val="restart"/>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功能性失效、维修和老化引起的危害</w:t>
                  </w:r>
                  <w:r>
                    <w:rPr>
                      <w:rFonts w:hint="eastAsia" w:ascii="宋体" w:hAnsi="宋体" w:eastAsia="宋体" w:cs="宋体"/>
                      <w:kern w:val="0"/>
                      <w:sz w:val="18"/>
                      <w:szCs w:val="18"/>
                      <w:lang w:val="en-US" w:eastAsia="zh-CN" w:bidi="ar"/>
                    </w:rPr>
                    <w:t xml:space="preserve"> </w:t>
                  </w:r>
                </w:p>
              </w:tc>
              <w:tc>
                <w:tcPr>
                  <w:tcW w:w="250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维修规范缺少或不适当，包括维修后检查规范不适当。</w:t>
                  </w:r>
                  <w:r>
                    <w:rPr>
                      <w:rFonts w:hint="eastAsia" w:ascii="宋体" w:hAnsi="宋体" w:eastAsia="宋体" w:cs="宋体"/>
                      <w:kern w:val="0"/>
                      <w:sz w:val="18"/>
                      <w:szCs w:val="18"/>
                      <w:lang w:val="en-US" w:eastAsia="zh-CN" w:bidi="ar"/>
                    </w:rPr>
                    <w:t xml:space="preserve"> </w:t>
                  </w:r>
                </w:p>
              </w:tc>
              <w:tc>
                <w:tcPr>
                  <w:tcW w:w="237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未按照规范进行服务和维修。</w:t>
                  </w:r>
                  <w:r>
                    <w:rPr>
                      <w:rFonts w:hint="eastAsia" w:ascii="宋体" w:hAnsi="宋体" w:eastAsia="宋体" w:cs="宋体"/>
                      <w:kern w:val="0"/>
                      <w:sz w:val="18"/>
                      <w:szCs w:val="18"/>
                      <w:lang w:val="en-US" w:eastAsia="zh-CN" w:bidi="ar"/>
                    </w:rPr>
                    <w:t xml:space="preserve"> </w:t>
                  </w:r>
                </w:p>
              </w:tc>
              <w:tc>
                <w:tcPr>
                  <w:tcW w:w="348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仪器未达到修复使用要求。</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947" w:type="dxa"/>
                  <w:vMerge w:val="continue"/>
                  <w:shd w:val="clear" w:color="auto" w:fill="auto"/>
                  <w:vAlign w:val="center"/>
                </w:tcPr>
                <w:p>
                  <w:pPr>
                    <w:rPr>
                      <w:rFonts w:hint="eastAsia" w:ascii="宋体"/>
                      <w:sz w:val="18"/>
                      <w:szCs w:val="18"/>
                    </w:rPr>
                  </w:pPr>
                </w:p>
              </w:tc>
              <w:tc>
                <w:tcPr>
                  <w:tcW w:w="250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维护的不适当。</w:t>
                  </w:r>
                  <w:r>
                    <w:rPr>
                      <w:rFonts w:hint="eastAsia" w:ascii="宋体" w:hAnsi="宋体" w:eastAsia="宋体" w:cs="宋体"/>
                      <w:kern w:val="0"/>
                      <w:sz w:val="18"/>
                      <w:szCs w:val="18"/>
                      <w:lang w:val="en-US" w:eastAsia="zh-CN" w:bidi="ar"/>
                    </w:rPr>
                    <w:t xml:space="preserve"> </w:t>
                  </w:r>
                </w:p>
              </w:tc>
              <w:tc>
                <w:tcPr>
                  <w:tcW w:w="237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未按要求进行维护。</w:t>
                  </w:r>
                  <w:r>
                    <w:rPr>
                      <w:rFonts w:hint="eastAsia" w:ascii="宋体" w:hAnsi="宋体" w:eastAsia="宋体" w:cs="宋体"/>
                      <w:kern w:val="0"/>
                      <w:sz w:val="18"/>
                      <w:szCs w:val="18"/>
                      <w:lang w:val="en-US" w:eastAsia="zh-CN" w:bidi="ar"/>
                    </w:rPr>
                    <w:t xml:space="preserve"> </w:t>
                  </w:r>
                </w:p>
              </w:tc>
              <w:tc>
                <w:tcPr>
                  <w:tcW w:w="348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仪器无法被正确维护。</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947" w:type="dxa"/>
                  <w:vMerge w:val="continue"/>
                  <w:shd w:val="clear" w:color="auto" w:fill="auto"/>
                  <w:vAlign w:val="center"/>
                </w:tcPr>
                <w:p>
                  <w:pPr>
                    <w:rPr>
                      <w:rFonts w:hint="eastAsia" w:ascii="宋体"/>
                      <w:sz w:val="18"/>
                      <w:szCs w:val="18"/>
                    </w:rPr>
                  </w:pPr>
                </w:p>
              </w:tc>
              <w:tc>
                <w:tcPr>
                  <w:tcW w:w="250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不适当的包装。</w:t>
                  </w:r>
                  <w:r>
                    <w:rPr>
                      <w:rFonts w:hint="eastAsia" w:ascii="宋体" w:hAnsi="宋体" w:eastAsia="宋体" w:cs="宋体"/>
                      <w:kern w:val="0"/>
                      <w:sz w:val="18"/>
                      <w:szCs w:val="18"/>
                      <w:lang w:val="en-US" w:eastAsia="zh-CN" w:bidi="ar"/>
                    </w:rPr>
                    <w:t xml:space="preserve"> </w:t>
                  </w:r>
                </w:p>
              </w:tc>
              <w:tc>
                <w:tcPr>
                  <w:tcW w:w="2377"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未保存原包装。</w:t>
                  </w:r>
                  <w:r>
                    <w:rPr>
                      <w:rFonts w:hint="eastAsia" w:ascii="宋体" w:hAnsi="宋体" w:eastAsia="宋体" w:cs="宋体"/>
                      <w:kern w:val="0"/>
                      <w:sz w:val="18"/>
                      <w:szCs w:val="18"/>
                      <w:lang w:val="en-US" w:eastAsia="zh-CN" w:bidi="ar"/>
                    </w:rPr>
                    <w:t xml:space="preserve"> </w:t>
                  </w:r>
                </w:p>
              </w:tc>
              <w:tc>
                <w:tcPr>
                  <w:tcW w:w="3484"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仪器送修运输中受损。</w:t>
                  </w:r>
                  <w:r>
                    <w:rPr>
                      <w:rFonts w:hint="eastAsia" w:ascii="宋体" w:hAnsi="宋体" w:eastAsia="宋体" w:cs="宋体"/>
                      <w:kern w:val="0"/>
                      <w:sz w:val="18"/>
                      <w:szCs w:val="18"/>
                      <w:lang w:val="en-US" w:eastAsia="zh-CN" w:bidi="ar"/>
                    </w:rPr>
                    <w:t xml:space="preserve"> </w:t>
                  </w:r>
                </w:p>
              </w:tc>
            </w:tr>
          </w:tbl>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（八）产品技术要求应包括的主要性能指标</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1.切变率显示范围：1s</w:t>
            </w:r>
            <w:r>
              <w:rPr>
                <w:rFonts w:hint="eastAsia" w:ascii="微软雅黑" w:hAnsi="微软雅黑" w:eastAsia="微软雅黑" w:cs="微软雅黑"/>
                <w:kern w:val="0"/>
                <w:sz w:val="21"/>
                <w:szCs w:val="21"/>
                <w:vertAlign w:val="superscript"/>
                <w:lang w:val="en-US" w:eastAsia="zh-CN" w:bidi="ar"/>
              </w:rPr>
              <w:t>-1</w:t>
            </w:r>
            <w:r>
              <w:rPr>
                <w:rFonts w:hint="eastAsia" w:ascii="微软雅黑" w:hAnsi="微软雅黑" w:eastAsia="微软雅黑" w:cs="微软雅黑"/>
                <w:kern w:val="0"/>
                <w:sz w:val="21"/>
                <w:szCs w:val="21"/>
                <w:lang w:val="en-US" w:eastAsia="zh-CN" w:bidi="ar"/>
              </w:rPr>
              <w:t>～200s</w:t>
            </w:r>
            <w:r>
              <w:rPr>
                <w:rFonts w:hint="eastAsia" w:ascii="微软雅黑" w:hAnsi="微软雅黑" w:eastAsia="微软雅黑" w:cs="微软雅黑"/>
                <w:kern w:val="0"/>
                <w:sz w:val="21"/>
                <w:szCs w:val="21"/>
                <w:vertAlign w:val="superscript"/>
                <w:lang w:val="en-US" w:eastAsia="zh-CN" w:bidi="ar"/>
              </w:rPr>
              <w:t>-1</w:t>
            </w:r>
            <w:r>
              <w:rPr>
                <w:rFonts w:hint="eastAsia" w:ascii="微软雅黑" w:hAnsi="微软雅黑" w:eastAsia="微软雅黑" w:cs="微软雅黑"/>
                <w:kern w:val="0"/>
                <w:sz w:val="21"/>
                <w:szCs w:val="21"/>
                <w:lang w:val="en-US" w:eastAsia="zh-CN" w:bidi="ar"/>
              </w:rPr>
              <w:t>。</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2.准确度：应满足表2的要求。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924"/>
              <w:jc w:val="center"/>
              <w:rPr>
                <w:sz w:val="18"/>
                <w:szCs w:val="18"/>
              </w:rPr>
            </w:pPr>
            <w:r>
              <w:rPr>
                <w:rFonts w:hint="eastAsia" w:ascii="微软雅黑" w:hAnsi="微软雅黑" w:eastAsia="微软雅黑" w:cs="微软雅黑"/>
                <w:kern w:val="0"/>
                <w:sz w:val="21"/>
                <w:szCs w:val="21"/>
                <w:lang w:val="en-US" w:eastAsia="zh-CN" w:bidi="ar"/>
              </w:rPr>
              <w:t>表2 不同切变率黏度测定准确度要求</w:t>
            </w:r>
            <w:r>
              <w:rPr>
                <w:rFonts w:hint="eastAsia" w:ascii="宋体" w:hAnsi="宋体" w:eastAsia="宋体" w:cs="宋体"/>
                <w:kern w:val="0"/>
                <w:sz w:val="18"/>
                <w:szCs w:val="18"/>
                <w:lang w:val="en-US" w:eastAsia="zh-CN" w:bidi="ar"/>
              </w:rPr>
              <w:t xml:space="preserve"> </w:t>
            </w:r>
          </w:p>
          <w:tbl>
            <w:tblPr>
              <w:tblStyle w:val="7"/>
              <w:tblW w:w="9450"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563"/>
              <w:gridCol w:w="1509"/>
              <w:gridCol w:w="1509"/>
              <w:gridCol w:w="1509"/>
              <w:gridCol w:w="1639"/>
              <w:gridCol w:w="17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blCellSpacing w:w="15" w:type="dxa"/>
              </w:trPr>
              <w:tc>
                <w:tcPr>
                  <w:tcW w:w="1518" w:type="dxa"/>
                  <w:vMerge w:val="restart"/>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切变率(s</w:t>
                  </w:r>
                  <w:r>
                    <w:rPr>
                      <w:rFonts w:hint="eastAsia" w:ascii="微软雅黑" w:hAnsi="微软雅黑" w:eastAsia="微软雅黑" w:cs="微软雅黑"/>
                      <w:kern w:val="0"/>
                      <w:sz w:val="21"/>
                      <w:szCs w:val="21"/>
                      <w:vertAlign w:val="superscript"/>
                      <w:lang w:val="en-US" w:eastAsia="zh-CN" w:bidi="ar"/>
                    </w:rPr>
                    <w:t>-1</w:t>
                  </w: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7842" w:type="dxa"/>
                  <w:gridSpan w:val="5"/>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牛顿标准物质黏度(mPa·s)及相对偏差要求</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518" w:type="dxa"/>
                  <w:vMerge w:val="continue"/>
                  <w:shd w:val="clear" w:color="auto" w:fill="auto"/>
                  <w:vAlign w:val="center"/>
                </w:tcPr>
                <w:p>
                  <w:pPr>
                    <w:rPr>
                      <w:rFonts w:hint="eastAsia" w:ascii="宋体"/>
                      <w:sz w:val="18"/>
                      <w:szCs w:val="18"/>
                    </w:rPr>
                  </w:pPr>
                </w:p>
              </w:tc>
              <w:tc>
                <w:tcPr>
                  <w:tcW w:w="1479"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1±0.5</w:t>
                  </w:r>
                  <w:r>
                    <w:rPr>
                      <w:rFonts w:hint="eastAsia" w:ascii="宋体" w:hAnsi="宋体" w:eastAsia="宋体" w:cs="宋体"/>
                      <w:kern w:val="0"/>
                      <w:sz w:val="18"/>
                      <w:szCs w:val="18"/>
                      <w:lang w:val="en-US" w:eastAsia="zh-CN" w:bidi="ar"/>
                    </w:rPr>
                    <w:t xml:space="preserve"> </w:t>
                  </w:r>
                </w:p>
              </w:tc>
              <w:tc>
                <w:tcPr>
                  <w:tcW w:w="1479"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5±1</w:t>
                  </w:r>
                  <w:r>
                    <w:rPr>
                      <w:rFonts w:hint="eastAsia" w:ascii="宋体" w:hAnsi="宋体" w:eastAsia="宋体" w:cs="宋体"/>
                      <w:kern w:val="0"/>
                      <w:sz w:val="18"/>
                      <w:szCs w:val="18"/>
                      <w:lang w:val="en-US" w:eastAsia="zh-CN" w:bidi="ar"/>
                    </w:rPr>
                    <w:t xml:space="preserve"> </w:t>
                  </w:r>
                </w:p>
              </w:tc>
              <w:tc>
                <w:tcPr>
                  <w:tcW w:w="3118"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10±2</w:t>
                  </w:r>
                  <w:r>
                    <w:rPr>
                      <w:rFonts w:hint="eastAsia" w:ascii="宋体" w:hAnsi="宋体" w:eastAsia="宋体" w:cs="宋体"/>
                      <w:kern w:val="0"/>
                      <w:sz w:val="18"/>
                      <w:szCs w:val="18"/>
                      <w:lang w:val="en-US" w:eastAsia="zh-CN" w:bidi="ar"/>
                    </w:rPr>
                    <w:t xml:space="preserve"> </w:t>
                  </w:r>
                </w:p>
              </w:tc>
              <w:tc>
                <w:tcPr>
                  <w:tcW w:w="167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20±4</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51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1</w:t>
                  </w:r>
                  <w:r>
                    <w:rPr>
                      <w:rFonts w:hint="eastAsia" w:ascii="宋体" w:hAnsi="宋体" w:eastAsia="宋体" w:cs="宋体"/>
                      <w:kern w:val="0"/>
                      <w:sz w:val="18"/>
                      <w:szCs w:val="18"/>
                      <w:lang w:val="en-US" w:eastAsia="zh-CN" w:bidi="ar"/>
                    </w:rPr>
                    <w:t xml:space="preserve"> </w:t>
                  </w:r>
                </w:p>
              </w:tc>
              <w:tc>
                <w:tcPr>
                  <w:tcW w:w="1479"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1479"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3118"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c>
                <w:tcPr>
                  <w:tcW w:w="167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51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10</w:t>
                  </w:r>
                  <w:r>
                    <w:rPr>
                      <w:rFonts w:hint="eastAsia" w:ascii="宋体" w:hAnsi="宋体" w:eastAsia="宋体" w:cs="宋体"/>
                      <w:kern w:val="0"/>
                      <w:sz w:val="18"/>
                      <w:szCs w:val="18"/>
                      <w:lang w:val="en-US" w:eastAsia="zh-CN" w:bidi="ar"/>
                    </w:rPr>
                    <w:t xml:space="preserve"> </w:t>
                  </w:r>
                </w:p>
              </w:tc>
              <w:tc>
                <w:tcPr>
                  <w:tcW w:w="1479"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1479"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3118"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c>
                <w:tcPr>
                  <w:tcW w:w="167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51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50</w:t>
                  </w:r>
                  <w:r>
                    <w:rPr>
                      <w:rFonts w:hint="eastAsia" w:ascii="宋体" w:hAnsi="宋体" w:eastAsia="宋体" w:cs="宋体"/>
                      <w:kern w:val="0"/>
                      <w:sz w:val="18"/>
                      <w:szCs w:val="18"/>
                      <w:lang w:val="en-US" w:eastAsia="zh-CN" w:bidi="ar"/>
                    </w:rPr>
                    <w:t xml:space="preserve"> </w:t>
                  </w:r>
                </w:p>
              </w:tc>
              <w:tc>
                <w:tcPr>
                  <w:tcW w:w="1479"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1479"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231"/>
                    <w:jc w:val="center"/>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c>
                <w:tcPr>
                  <w:tcW w:w="3118"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c>
                <w:tcPr>
                  <w:tcW w:w="167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51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100</w:t>
                  </w:r>
                  <w:r>
                    <w:rPr>
                      <w:rFonts w:hint="eastAsia" w:ascii="宋体" w:hAnsi="宋体" w:eastAsia="宋体" w:cs="宋体"/>
                      <w:kern w:val="0"/>
                      <w:sz w:val="18"/>
                      <w:szCs w:val="18"/>
                      <w:lang w:val="en-US" w:eastAsia="zh-CN" w:bidi="ar"/>
                    </w:rPr>
                    <w:t xml:space="preserve"> </w:t>
                  </w:r>
                </w:p>
              </w:tc>
              <w:tc>
                <w:tcPr>
                  <w:tcW w:w="1479"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c>
                <w:tcPr>
                  <w:tcW w:w="1479"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231"/>
                    <w:jc w:val="center"/>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c>
                <w:tcPr>
                  <w:tcW w:w="3118"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167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51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200</w:t>
                  </w:r>
                  <w:r>
                    <w:rPr>
                      <w:rFonts w:hint="eastAsia" w:ascii="宋体" w:hAnsi="宋体" w:eastAsia="宋体" w:cs="宋体"/>
                      <w:kern w:val="0"/>
                      <w:sz w:val="18"/>
                      <w:szCs w:val="18"/>
                      <w:lang w:val="en-US" w:eastAsia="zh-CN" w:bidi="ar"/>
                    </w:rPr>
                    <w:t xml:space="preserve"> </w:t>
                  </w:r>
                </w:p>
              </w:tc>
              <w:tc>
                <w:tcPr>
                  <w:tcW w:w="1479"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≤3%</w:t>
                  </w:r>
                  <w:r>
                    <w:rPr>
                      <w:rFonts w:hint="eastAsia" w:ascii="宋体" w:hAnsi="宋体" w:eastAsia="宋体" w:cs="宋体"/>
                      <w:kern w:val="0"/>
                      <w:sz w:val="18"/>
                      <w:szCs w:val="18"/>
                      <w:lang w:val="en-US" w:eastAsia="zh-CN" w:bidi="ar"/>
                    </w:rPr>
                    <w:t xml:space="preserve"> </w:t>
                  </w:r>
                </w:p>
              </w:tc>
              <w:tc>
                <w:tcPr>
                  <w:tcW w:w="1479"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231"/>
                    <w:jc w:val="center"/>
                    <w:rPr>
                      <w:sz w:val="18"/>
                      <w:szCs w:val="18"/>
                    </w:rPr>
                  </w:pPr>
                  <w:r>
                    <w:rPr>
                      <w:rFonts w:hint="eastAsia" w:ascii="微软雅黑" w:hAnsi="微软雅黑" w:eastAsia="微软雅黑" w:cs="微软雅黑"/>
                      <w:kern w:val="0"/>
                      <w:sz w:val="21"/>
                      <w:szCs w:val="21"/>
                      <w:lang w:val="en-US" w:eastAsia="zh-CN" w:bidi="ar"/>
                    </w:rPr>
                    <w:t>≤3%</w:t>
                  </w:r>
                  <w:r>
                    <w:rPr>
                      <w:rFonts w:hint="eastAsia" w:ascii="宋体" w:hAnsi="宋体" w:eastAsia="宋体" w:cs="宋体"/>
                      <w:kern w:val="0"/>
                      <w:sz w:val="18"/>
                      <w:szCs w:val="18"/>
                      <w:lang w:val="en-US" w:eastAsia="zh-CN" w:bidi="ar"/>
                    </w:rPr>
                    <w:t xml:space="preserve"> </w:t>
                  </w:r>
                </w:p>
              </w:tc>
              <w:tc>
                <w:tcPr>
                  <w:tcW w:w="3118"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167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51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切变率(s</w:t>
                  </w:r>
                  <w:r>
                    <w:rPr>
                      <w:rFonts w:hint="eastAsia" w:ascii="微软雅黑" w:hAnsi="微软雅黑" w:eastAsia="微软雅黑" w:cs="微软雅黑"/>
                      <w:kern w:val="0"/>
                      <w:sz w:val="21"/>
                      <w:szCs w:val="21"/>
                      <w:vertAlign w:val="superscript"/>
                      <w:lang w:val="en-US" w:eastAsia="zh-CN" w:bidi="ar"/>
                    </w:rPr>
                    <w:t>-1</w:t>
                  </w: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7842" w:type="dxa"/>
                  <w:gridSpan w:val="5"/>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非牛顿标准物质黏度(mPa·s)及相对偏差要求</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51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1</w:t>
                  </w:r>
                  <w:r>
                    <w:rPr>
                      <w:rFonts w:hint="eastAsia" w:ascii="宋体" w:hAnsi="宋体" w:eastAsia="宋体" w:cs="宋体"/>
                      <w:kern w:val="0"/>
                      <w:sz w:val="18"/>
                      <w:szCs w:val="18"/>
                      <w:lang w:val="en-US" w:eastAsia="zh-CN" w:bidi="ar"/>
                    </w:rPr>
                    <w:t xml:space="preserve"> </w:t>
                  </w:r>
                </w:p>
              </w:tc>
              <w:tc>
                <w:tcPr>
                  <w:tcW w:w="4497" w:type="dxa"/>
                  <w:gridSpan w:val="3"/>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10～30</w:t>
                  </w:r>
                  <w:r>
                    <w:rPr>
                      <w:rFonts w:hint="eastAsia" w:ascii="宋体" w:hAnsi="宋体" w:eastAsia="宋体" w:cs="宋体"/>
                      <w:kern w:val="0"/>
                      <w:sz w:val="18"/>
                      <w:szCs w:val="18"/>
                      <w:lang w:val="en-US" w:eastAsia="zh-CN" w:bidi="ar"/>
                    </w:rPr>
                    <w:t xml:space="preserve"> </w:t>
                  </w:r>
                </w:p>
              </w:tc>
              <w:tc>
                <w:tcPr>
                  <w:tcW w:w="3315"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相对偏差≤5%</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51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50</w:t>
                  </w:r>
                  <w:r>
                    <w:rPr>
                      <w:rFonts w:hint="eastAsia" w:ascii="宋体" w:hAnsi="宋体" w:eastAsia="宋体" w:cs="宋体"/>
                      <w:kern w:val="0"/>
                      <w:sz w:val="18"/>
                      <w:szCs w:val="18"/>
                      <w:lang w:val="en-US" w:eastAsia="zh-CN" w:bidi="ar"/>
                    </w:rPr>
                    <w:t xml:space="preserve"> </w:t>
                  </w:r>
                </w:p>
              </w:tc>
              <w:tc>
                <w:tcPr>
                  <w:tcW w:w="4497" w:type="dxa"/>
                  <w:gridSpan w:val="3"/>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2～7</w:t>
                  </w:r>
                  <w:r>
                    <w:rPr>
                      <w:rFonts w:hint="eastAsia" w:ascii="宋体" w:hAnsi="宋体" w:eastAsia="宋体" w:cs="宋体"/>
                      <w:kern w:val="0"/>
                      <w:sz w:val="18"/>
                      <w:szCs w:val="18"/>
                      <w:lang w:val="en-US" w:eastAsia="zh-CN" w:bidi="ar"/>
                    </w:rPr>
                    <w:t xml:space="preserve"> </w:t>
                  </w:r>
                </w:p>
              </w:tc>
              <w:tc>
                <w:tcPr>
                  <w:tcW w:w="3315"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相对偏差≤5%</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51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200</w:t>
                  </w:r>
                  <w:r>
                    <w:rPr>
                      <w:rFonts w:hint="eastAsia" w:ascii="宋体" w:hAnsi="宋体" w:eastAsia="宋体" w:cs="宋体"/>
                      <w:kern w:val="0"/>
                      <w:sz w:val="18"/>
                      <w:szCs w:val="18"/>
                      <w:lang w:val="en-US" w:eastAsia="zh-CN" w:bidi="ar"/>
                    </w:rPr>
                    <w:t xml:space="preserve"> </w:t>
                  </w:r>
                </w:p>
              </w:tc>
              <w:tc>
                <w:tcPr>
                  <w:tcW w:w="4497" w:type="dxa"/>
                  <w:gridSpan w:val="3"/>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1～5</w:t>
                  </w:r>
                  <w:r>
                    <w:rPr>
                      <w:rFonts w:hint="eastAsia" w:ascii="宋体" w:hAnsi="宋体" w:eastAsia="宋体" w:cs="宋体"/>
                      <w:kern w:val="0"/>
                      <w:sz w:val="18"/>
                      <w:szCs w:val="18"/>
                      <w:lang w:val="en-US" w:eastAsia="zh-CN" w:bidi="ar"/>
                    </w:rPr>
                    <w:t xml:space="preserve"> </w:t>
                  </w:r>
                </w:p>
              </w:tc>
              <w:tc>
                <w:tcPr>
                  <w:tcW w:w="3315"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相对偏差≤3%</w:t>
                  </w:r>
                  <w:r>
                    <w:rPr>
                      <w:rFonts w:hint="eastAsia" w:ascii="宋体" w:hAnsi="宋体" w:eastAsia="宋体" w:cs="宋体"/>
                      <w:kern w:val="0"/>
                      <w:sz w:val="18"/>
                      <w:szCs w:val="18"/>
                      <w:lang w:val="en-US" w:eastAsia="zh-CN" w:bidi="ar"/>
                    </w:rPr>
                    <w:t xml:space="preserve"> </w:t>
                  </w:r>
                </w:p>
              </w:tc>
            </w:tr>
          </w:tbl>
          <w:p>
            <w:pPr>
              <w:pStyle w:val="3"/>
              <w:keepNext w:val="0"/>
              <w:keepLines w:val="0"/>
              <w:widowControl/>
              <w:suppressLineNumbers w:val="0"/>
              <w:spacing w:before="300" w:beforeAutospacing="0" w:after="0" w:afterAutospacing="1" w:line="390" w:lineRule="atLeast"/>
              <w:ind w:left="0" w:right="0" w:firstLine="480"/>
              <w:jc w:val="left"/>
              <w:rPr>
                <w:sz w:val="18"/>
                <w:szCs w:val="18"/>
              </w:rPr>
            </w:pPr>
            <w:r>
              <w:rPr>
                <w:rFonts w:hint="eastAsia" w:ascii="微软雅黑" w:hAnsi="微软雅黑" w:eastAsia="微软雅黑" w:cs="微软雅黑"/>
                <w:kern w:val="0"/>
                <w:sz w:val="21"/>
                <w:szCs w:val="21"/>
                <w:lang w:val="en-US" w:eastAsia="zh-CN" w:bidi="ar"/>
              </w:rPr>
              <w:t>注：具体测试时应选用适当的有证标准黏度液，包括牛顿流体标准黏度液（标准油）、非牛顿流体标准黏度液（非牛顿液体标准物质）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3.重复性：应满足表3的要求。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560"/>
              <w:jc w:val="center"/>
              <w:rPr>
                <w:sz w:val="18"/>
                <w:szCs w:val="18"/>
              </w:rPr>
            </w:pPr>
            <w:r>
              <w:rPr>
                <w:rFonts w:hint="eastAsia" w:ascii="微软雅黑" w:hAnsi="微软雅黑" w:eastAsia="微软雅黑" w:cs="微软雅黑"/>
                <w:kern w:val="0"/>
                <w:sz w:val="21"/>
                <w:szCs w:val="21"/>
                <w:lang w:val="en-US" w:eastAsia="zh-CN" w:bidi="ar"/>
              </w:rPr>
              <w:t>表3不同切变率黏度测定重复性要求</w:t>
            </w:r>
            <w:r>
              <w:rPr>
                <w:rFonts w:hint="default" w:ascii="仿宋_GB2312" w:eastAsia="仿宋_GB2312" w:cs="仿宋_GB2312"/>
                <w:kern w:val="0"/>
                <w:sz w:val="18"/>
                <w:szCs w:val="18"/>
                <w:lang w:val="en-US" w:eastAsia="zh-CN" w:bidi="ar"/>
              </w:rPr>
              <w:t xml:space="preserve"> </w:t>
            </w:r>
          </w:p>
          <w:tbl>
            <w:tblPr>
              <w:tblStyle w:val="7"/>
              <w:tblW w:w="9533"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3"/>
              <w:gridCol w:w="1626"/>
              <w:gridCol w:w="1626"/>
              <w:gridCol w:w="1626"/>
              <w:gridCol w:w="1747"/>
              <w:gridCol w:w="18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blCellSpacing w:w="15" w:type="dxa"/>
              </w:trPr>
              <w:tc>
                <w:tcPr>
                  <w:tcW w:w="1038" w:type="dxa"/>
                  <w:vMerge w:val="restart"/>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切变率(s</w:t>
                  </w:r>
                  <w:r>
                    <w:rPr>
                      <w:rFonts w:hint="eastAsia" w:ascii="微软雅黑" w:hAnsi="微软雅黑" w:eastAsia="微软雅黑" w:cs="微软雅黑"/>
                      <w:kern w:val="0"/>
                      <w:sz w:val="21"/>
                      <w:szCs w:val="21"/>
                      <w:vertAlign w:val="superscript"/>
                      <w:lang w:val="en-US" w:eastAsia="zh-CN" w:bidi="ar"/>
                    </w:rPr>
                    <w:t>-1</w:t>
                  </w: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8405" w:type="dxa"/>
                  <w:gridSpan w:val="5"/>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牛顿标准物质黏度(mPa·s)及重复性要求（CV，%）</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038" w:type="dxa"/>
                  <w:vMerge w:val="continue"/>
                  <w:shd w:val="clear" w:color="auto" w:fill="auto"/>
                  <w:vAlign w:val="center"/>
                </w:tcPr>
                <w:p>
                  <w:pPr>
                    <w:rPr>
                      <w:rFonts w:hint="eastAsia" w:ascii="宋体"/>
                      <w:sz w:val="18"/>
                      <w:szCs w:val="18"/>
                    </w:rPr>
                  </w:pPr>
                </w:p>
              </w:tc>
              <w:tc>
                <w:tcPr>
                  <w:tcW w:w="159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both"/>
                    <w:rPr>
                      <w:sz w:val="18"/>
                      <w:szCs w:val="18"/>
                    </w:rPr>
                  </w:pPr>
                  <w:r>
                    <w:rPr>
                      <w:rFonts w:hint="eastAsia" w:ascii="微软雅黑" w:hAnsi="微软雅黑" w:eastAsia="微软雅黑" w:cs="微软雅黑"/>
                      <w:kern w:val="0"/>
                      <w:sz w:val="21"/>
                      <w:szCs w:val="21"/>
                      <w:lang w:val="en-US" w:eastAsia="zh-CN" w:bidi="ar"/>
                    </w:rPr>
                    <w:t>1±0.5</w:t>
                  </w:r>
                  <w:r>
                    <w:rPr>
                      <w:rFonts w:hint="eastAsia" w:ascii="宋体" w:hAnsi="宋体" w:eastAsia="宋体" w:cs="宋体"/>
                      <w:kern w:val="0"/>
                      <w:sz w:val="18"/>
                      <w:szCs w:val="18"/>
                      <w:lang w:val="en-US" w:eastAsia="zh-CN" w:bidi="ar"/>
                    </w:rPr>
                    <w:t xml:space="preserve"> </w:t>
                  </w:r>
                </w:p>
              </w:tc>
              <w:tc>
                <w:tcPr>
                  <w:tcW w:w="159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both"/>
                    <w:rPr>
                      <w:sz w:val="18"/>
                      <w:szCs w:val="18"/>
                    </w:rPr>
                  </w:pPr>
                  <w:r>
                    <w:rPr>
                      <w:rFonts w:hint="eastAsia" w:ascii="微软雅黑" w:hAnsi="微软雅黑" w:eastAsia="微软雅黑" w:cs="微软雅黑"/>
                      <w:kern w:val="0"/>
                      <w:sz w:val="21"/>
                      <w:szCs w:val="21"/>
                      <w:lang w:val="en-US" w:eastAsia="zh-CN" w:bidi="ar"/>
                    </w:rPr>
                    <w:t>5±1</w:t>
                  </w:r>
                  <w:r>
                    <w:rPr>
                      <w:rFonts w:hint="eastAsia" w:ascii="宋体" w:hAnsi="宋体" w:eastAsia="宋体" w:cs="宋体"/>
                      <w:kern w:val="0"/>
                      <w:sz w:val="18"/>
                      <w:szCs w:val="18"/>
                      <w:lang w:val="en-US" w:eastAsia="zh-CN" w:bidi="ar"/>
                    </w:rPr>
                    <w:t xml:space="preserve"> </w:t>
                  </w:r>
                </w:p>
              </w:tc>
              <w:tc>
                <w:tcPr>
                  <w:tcW w:w="3343"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231"/>
                    <w:jc w:val="center"/>
                    <w:rPr>
                      <w:sz w:val="18"/>
                      <w:szCs w:val="18"/>
                    </w:rPr>
                  </w:pPr>
                  <w:r>
                    <w:rPr>
                      <w:rFonts w:hint="eastAsia" w:ascii="微软雅黑" w:hAnsi="微软雅黑" w:eastAsia="微软雅黑" w:cs="微软雅黑"/>
                      <w:kern w:val="0"/>
                      <w:sz w:val="21"/>
                      <w:szCs w:val="21"/>
                      <w:lang w:val="en-US" w:eastAsia="zh-CN" w:bidi="ar"/>
                    </w:rPr>
                    <w:t>10±2</w:t>
                  </w:r>
                  <w:r>
                    <w:rPr>
                      <w:rFonts w:hint="eastAsia" w:ascii="宋体" w:hAnsi="宋体" w:eastAsia="宋体" w:cs="宋体"/>
                      <w:kern w:val="0"/>
                      <w:sz w:val="18"/>
                      <w:szCs w:val="18"/>
                      <w:lang w:val="en-US" w:eastAsia="zh-CN" w:bidi="ar"/>
                    </w:rPr>
                    <w:t xml:space="preserve"> </w:t>
                  </w:r>
                </w:p>
              </w:tc>
              <w:tc>
                <w:tcPr>
                  <w:tcW w:w="1780"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231"/>
                    <w:jc w:val="center"/>
                    <w:rPr>
                      <w:sz w:val="18"/>
                      <w:szCs w:val="18"/>
                    </w:rPr>
                  </w:pPr>
                  <w:r>
                    <w:rPr>
                      <w:rFonts w:hint="eastAsia" w:ascii="微软雅黑" w:hAnsi="微软雅黑" w:eastAsia="微软雅黑" w:cs="微软雅黑"/>
                      <w:kern w:val="0"/>
                      <w:sz w:val="21"/>
                      <w:szCs w:val="21"/>
                      <w:lang w:val="en-US" w:eastAsia="zh-CN" w:bidi="ar"/>
                    </w:rPr>
                    <w:t>20±4</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03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both"/>
                    <w:rPr>
                      <w:sz w:val="18"/>
                      <w:szCs w:val="18"/>
                    </w:rPr>
                  </w:pPr>
                  <w:r>
                    <w:rPr>
                      <w:rFonts w:hint="eastAsia" w:ascii="微软雅黑" w:hAnsi="微软雅黑" w:eastAsia="微软雅黑" w:cs="微软雅黑"/>
                      <w:kern w:val="0"/>
                      <w:sz w:val="21"/>
                      <w:szCs w:val="21"/>
                      <w:lang w:val="en-US" w:eastAsia="zh-CN" w:bidi="ar"/>
                    </w:rPr>
                    <w:t>1</w:t>
                  </w:r>
                  <w:r>
                    <w:rPr>
                      <w:rFonts w:hint="eastAsia" w:ascii="宋体" w:hAnsi="宋体" w:eastAsia="宋体" w:cs="宋体"/>
                      <w:kern w:val="0"/>
                      <w:sz w:val="18"/>
                      <w:szCs w:val="18"/>
                      <w:lang w:val="en-US" w:eastAsia="zh-CN" w:bidi="ar"/>
                    </w:rPr>
                    <w:t xml:space="preserve"> </w:t>
                  </w:r>
                </w:p>
              </w:tc>
              <w:tc>
                <w:tcPr>
                  <w:tcW w:w="159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159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3343"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c>
                <w:tcPr>
                  <w:tcW w:w="1780"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03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both"/>
                    <w:rPr>
                      <w:sz w:val="18"/>
                      <w:szCs w:val="18"/>
                    </w:rPr>
                  </w:pPr>
                  <w:r>
                    <w:rPr>
                      <w:rFonts w:hint="eastAsia" w:ascii="微软雅黑" w:hAnsi="微软雅黑" w:eastAsia="微软雅黑" w:cs="微软雅黑"/>
                      <w:kern w:val="0"/>
                      <w:sz w:val="21"/>
                      <w:szCs w:val="21"/>
                      <w:lang w:val="en-US" w:eastAsia="zh-CN" w:bidi="ar"/>
                    </w:rPr>
                    <w:t>10</w:t>
                  </w:r>
                  <w:r>
                    <w:rPr>
                      <w:rFonts w:hint="eastAsia" w:ascii="宋体" w:hAnsi="宋体" w:eastAsia="宋体" w:cs="宋体"/>
                      <w:kern w:val="0"/>
                      <w:sz w:val="18"/>
                      <w:szCs w:val="18"/>
                      <w:lang w:val="en-US" w:eastAsia="zh-CN" w:bidi="ar"/>
                    </w:rPr>
                    <w:t xml:space="preserve"> </w:t>
                  </w:r>
                </w:p>
              </w:tc>
              <w:tc>
                <w:tcPr>
                  <w:tcW w:w="159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159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3343"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c>
                <w:tcPr>
                  <w:tcW w:w="1780"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03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both"/>
                    <w:rPr>
                      <w:sz w:val="18"/>
                      <w:szCs w:val="18"/>
                    </w:rPr>
                  </w:pPr>
                  <w:r>
                    <w:rPr>
                      <w:rFonts w:hint="eastAsia" w:ascii="微软雅黑" w:hAnsi="微软雅黑" w:eastAsia="微软雅黑" w:cs="微软雅黑"/>
                      <w:kern w:val="0"/>
                      <w:sz w:val="21"/>
                      <w:szCs w:val="21"/>
                      <w:lang w:val="en-US" w:eastAsia="zh-CN" w:bidi="ar"/>
                    </w:rPr>
                    <w:t>50</w:t>
                  </w:r>
                  <w:r>
                    <w:rPr>
                      <w:rFonts w:hint="eastAsia" w:ascii="宋体" w:hAnsi="宋体" w:eastAsia="宋体" w:cs="宋体"/>
                      <w:kern w:val="0"/>
                      <w:sz w:val="18"/>
                      <w:szCs w:val="18"/>
                      <w:lang w:val="en-US" w:eastAsia="zh-CN" w:bidi="ar"/>
                    </w:rPr>
                    <w:t xml:space="preserve"> </w:t>
                  </w:r>
                </w:p>
              </w:tc>
              <w:tc>
                <w:tcPr>
                  <w:tcW w:w="159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159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c>
                <w:tcPr>
                  <w:tcW w:w="3343"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c>
                <w:tcPr>
                  <w:tcW w:w="1780"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03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both"/>
                    <w:rPr>
                      <w:sz w:val="18"/>
                      <w:szCs w:val="18"/>
                    </w:rPr>
                  </w:pPr>
                  <w:r>
                    <w:rPr>
                      <w:rFonts w:hint="eastAsia" w:ascii="微软雅黑" w:hAnsi="微软雅黑" w:eastAsia="微软雅黑" w:cs="微软雅黑"/>
                      <w:kern w:val="0"/>
                      <w:sz w:val="21"/>
                      <w:szCs w:val="21"/>
                      <w:lang w:val="en-US" w:eastAsia="zh-CN" w:bidi="ar"/>
                    </w:rPr>
                    <w:t>100</w:t>
                  </w:r>
                  <w:r>
                    <w:rPr>
                      <w:rFonts w:hint="eastAsia" w:ascii="宋体" w:hAnsi="宋体" w:eastAsia="宋体" w:cs="宋体"/>
                      <w:kern w:val="0"/>
                      <w:sz w:val="18"/>
                      <w:szCs w:val="18"/>
                      <w:lang w:val="en-US" w:eastAsia="zh-CN" w:bidi="ar"/>
                    </w:rPr>
                    <w:t xml:space="preserve"> </w:t>
                  </w:r>
                </w:p>
              </w:tc>
              <w:tc>
                <w:tcPr>
                  <w:tcW w:w="159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c>
                <w:tcPr>
                  <w:tcW w:w="159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c>
                <w:tcPr>
                  <w:tcW w:w="3343"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1780"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03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both"/>
                    <w:rPr>
                      <w:sz w:val="18"/>
                      <w:szCs w:val="18"/>
                    </w:rPr>
                  </w:pPr>
                  <w:r>
                    <w:rPr>
                      <w:rFonts w:hint="eastAsia" w:ascii="微软雅黑" w:hAnsi="微软雅黑" w:eastAsia="微软雅黑" w:cs="微软雅黑"/>
                      <w:kern w:val="0"/>
                      <w:sz w:val="21"/>
                      <w:szCs w:val="21"/>
                      <w:lang w:val="en-US" w:eastAsia="zh-CN" w:bidi="ar"/>
                    </w:rPr>
                    <w:t>200</w:t>
                  </w:r>
                  <w:r>
                    <w:rPr>
                      <w:rFonts w:hint="eastAsia" w:ascii="宋体" w:hAnsi="宋体" w:eastAsia="宋体" w:cs="宋体"/>
                      <w:kern w:val="0"/>
                      <w:sz w:val="18"/>
                      <w:szCs w:val="18"/>
                      <w:lang w:val="en-US" w:eastAsia="zh-CN" w:bidi="ar"/>
                    </w:rPr>
                    <w:t xml:space="preserve"> </w:t>
                  </w:r>
                </w:p>
              </w:tc>
              <w:tc>
                <w:tcPr>
                  <w:tcW w:w="159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≤3%</w:t>
                  </w:r>
                  <w:r>
                    <w:rPr>
                      <w:rFonts w:hint="eastAsia" w:ascii="宋体" w:hAnsi="宋体" w:eastAsia="宋体" w:cs="宋体"/>
                      <w:kern w:val="0"/>
                      <w:sz w:val="18"/>
                      <w:szCs w:val="18"/>
                      <w:lang w:val="en-US" w:eastAsia="zh-CN" w:bidi="ar"/>
                    </w:rPr>
                    <w:t xml:space="preserve"> </w:t>
                  </w:r>
                </w:p>
              </w:tc>
              <w:tc>
                <w:tcPr>
                  <w:tcW w:w="1596"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≤3%</w:t>
                  </w:r>
                  <w:r>
                    <w:rPr>
                      <w:rFonts w:hint="eastAsia" w:ascii="宋体" w:hAnsi="宋体" w:eastAsia="宋体" w:cs="宋体"/>
                      <w:kern w:val="0"/>
                      <w:sz w:val="18"/>
                      <w:szCs w:val="18"/>
                      <w:lang w:val="en-US" w:eastAsia="zh-CN" w:bidi="ar"/>
                    </w:rPr>
                    <w:t xml:space="preserve"> </w:t>
                  </w:r>
                </w:p>
              </w:tc>
              <w:tc>
                <w:tcPr>
                  <w:tcW w:w="3343"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1780"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346"/>
                    <w:jc w:val="center"/>
                    <w:rPr>
                      <w:sz w:val="18"/>
                      <w:szCs w:val="18"/>
                    </w:rPr>
                  </w:pP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03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切变率(s</w:t>
                  </w:r>
                  <w:r>
                    <w:rPr>
                      <w:rFonts w:hint="eastAsia" w:ascii="微软雅黑" w:hAnsi="微软雅黑" w:eastAsia="微软雅黑" w:cs="微软雅黑"/>
                      <w:kern w:val="0"/>
                      <w:sz w:val="21"/>
                      <w:szCs w:val="21"/>
                      <w:vertAlign w:val="superscript"/>
                      <w:lang w:val="en-US" w:eastAsia="zh-CN" w:bidi="ar"/>
                    </w:rPr>
                    <w:t>-1</w:t>
                  </w: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8405" w:type="dxa"/>
                  <w:gridSpan w:val="5"/>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非牛顿标准物质黏度(mPa·s)及重复性要求（CV，%）</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03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both"/>
                    <w:rPr>
                      <w:sz w:val="18"/>
                      <w:szCs w:val="18"/>
                    </w:rPr>
                  </w:pPr>
                  <w:r>
                    <w:rPr>
                      <w:rFonts w:hint="eastAsia" w:ascii="微软雅黑" w:hAnsi="微软雅黑" w:eastAsia="微软雅黑" w:cs="微软雅黑"/>
                      <w:kern w:val="0"/>
                      <w:sz w:val="21"/>
                      <w:szCs w:val="21"/>
                      <w:lang w:val="en-US" w:eastAsia="zh-CN" w:bidi="ar"/>
                    </w:rPr>
                    <w:t>1</w:t>
                  </w:r>
                  <w:r>
                    <w:rPr>
                      <w:rFonts w:hint="eastAsia" w:ascii="宋体" w:hAnsi="宋体" w:eastAsia="宋体" w:cs="宋体"/>
                      <w:kern w:val="0"/>
                      <w:sz w:val="18"/>
                      <w:szCs w:val="18"/>
                      <w:lang w:val="en-US" w:eastAsia="zh-CN" w:bidi="ar"/>
                    </w:rPr>
                    <w:t xml:space="preserve"> </w:t>
                  </w:r>
                </w:p>
              </w:tc>
              <w:tc>
                <w:tcPr>
                  <w:tcW w:w="4848" w:type="dxa"/>
                  <w:gridSpan w:val="3"/>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10～30</w:t>
                  </w:r>
                  <w:r>
                    <w:rPr>
                      <w:rFonts w:hint="eastAsia" w:ascii="宋体" w:hAnsi="宋体" w:eastAsia="宋体" w:cs="宋体"/>
                      <w:kern w:val="0"/>
                      <w:sz w:val="18"/>
                      <w:szCs w:val="18"/>
                      <w:lang w:val="en-US" w:eastAsia="zh-CN" w:bidi="ar"/>
                    </w:rPr>
                    <w:t xml:space="preserve"> </w:t>
                  </w:r>
                </w:p>
              </w:tc>
              <w:tc>
                <w:tcPr>
                  <w:tcW w:w="3527"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CV（%）≤5%</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03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both"/>
                    <w:rPr>
                      <w:sz w:val="18"/>
                      <w:szCs w:val="18"/>
                    </w:rPr>
                  </w:pPr>
                  <w:r>
                    <w:rPr>
                      <w:rFonts w:hint="eastAsia" w:ascii="微软雅黑" w:hAnsi="微软雅黑" w:eastAsia="微软雅黑" w:cs="微软雅黑"/>
                      <w:kern w:val="0"/>
                      <w:sz w:val="21"/>
                      <w:szCs w:val="21"/>
                      <w:lang w:val="en-US" w:eastAsia="zh-CN" w:bidi="ar"/>
                    </w:rPr>
                    <w:t>50</w:t>
                  </w:r>
                  <w:r>
                    <w:rPr>
                      <w:rFonts w:hint="eastAsia" w:ascii="宋体" w:hAnsi="宋体" w:eastAsia="宋体" w:cs="宋体"/>
                      <w:kern w:val="0"/>
                      <w:sz w:val="18"/>
                      <w:szCs w:val="18"/>
                      <w:lang w:val="en-US" w:eastAsia="zh-CN" w:bidi="ar"/>
                    </w:rPr>
                    <w:t xml:space="preserve"> </w:t>
                  </w:r>
                </w:p>
              </w:tc>
              <w:tc>
                <w:tcPr>
                  <w:tcW w:w="4848" w:type="dxa"/>
                  <w:gridSpan w:val="3"/>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2～7</w:t>
                  </w:r>
                  <w:r>
                    <w:rPr>
                      <w:rFonts w:hint="eastAsia" w:ascii="宋体" w:hAnsi="宋体" w:eastAsia="宋体" w:cs="宋体"/>
                      <w:kern w:val="0"/>
                      <w:sz w:val="18"/>
                      <w:szCs w:val="18"/>
                      <w:lang w:val="en-US" w:eastAsia="zh-CN" w:bidi="ar"/>
                    </w:rPr>
                    <w:t xml:space="preserve"> </w:t>
                  </w:r>
                </w:p>
              </w:tc>
              <w:tc>
                <w:tcPr>
                  <w:tcW w:w="3527"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CV（%）≤3%</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03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both"/>
                    <w:rPr>
                      <w:sz w:val="18"/>
                      <w:szCs w:val="18"/>
                    </w:rPr>
                  </w:pPr>
                  <w:r>
                    <w:rPr>
                      <w:rFonts w:hint="eastAsia" w:ascii="微软雅黑" w:hAnsi="微软雅黑" w:eastAsia="微软雅黑" w:cs="微软雅黑"/>
                      <w:kern w:val="0"/>
                      <w:sz w:val="21"/>
                      <w:szCs w:val="21"/>
                      <w:lang w:val="en-US" w:eastAsia="zh-CN" w:bidi="ar"/>
                    </w:rPr>
                    <w:t>200</w:t>
                  </w:r>
                  <w:r>
                    <w:rPr>
                      <w:rFonts w:hint="eastAsia" w:ascii="宋体" w:hAnsi="宋体" w:eastAsia="宋体" w:cs="宋体"/>
                      <w:kern w:val="0"/>
                      <w:sz w:val="18"/>
                      <w:szCs w:val="18"/>
                      <w:lang w:val="en-US" w:eastAsia="zh-CN" w:bidi="ar"/>
                    </w:rPr>
                    <w:t xml:space="preserve"> </w:t>
                  </w:r>
                </w:p>
              </w:tc>
              <w:tc>
                <w:tcPr>
                  <w:tcW w:w="4848" w:type="dxa"/>
                  <w:gridSpan w:val="3"/>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1～5</w:t>
                  </w:r>
                  <w:r>
                    <w:rPr>
                      <w:rFonts w:hint="eastAsia" w:ascii="宋体" w:hAnsi="宋体" w:eastAsia="宋体" w:cs="宋体"/>
                      <w:kern w:val="0"/>
                      <w:sz w:val="18"/>
                      <w:szCs w:val="18"/>
                      <w:lang w:val="en-US" w:eastAsia="zh-CN" w:bidi="ar"/>
                    </w:rPr>
                    <w:t xml:space="preserve"> </w:t>
                  </w:r>
                </w:p>
              </w:tc>
              <w:tc>
                <w:tcPr>
                  <w:tcW w:w="3527" w:type="dxa"/>
                  <w:gridSpan w:val="2"/>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center"/>
                    <w:rPr>
                      <w:sz w:val="18"/>
                      <w:szCs w:val="18"/>
                    </w:rPr>
                  </w:pPr>
                  <w:r>
                    <w:rPr>
                      <w:rFonts w:hint="eastAsia" w:ascii="微软雅黑" w:hAnsi="微软雅黑" w:eastAsia="微软雅黑" w:cs="微软雅黑"/>
                      <w:kern w:val="0"/>
                      <w:sz w:val="21"/>
                      <w:szCs w:val="21"/>
                      <w:lang w:val="en-US" w:eastAsia="zh-CN" w:bidi="ar"/>
                    </w:rPr>
                    <w:t>CV（%）≤3%</w:t>
                  </w:r>
                  <w:r>
                    <w:rPr>
                      <w:rFonts w:hint="eastAsia" w:ascii="宋体" w:hAnsi="宋体" w:eastAsia="宋体" w:cs="宋体"/>
                      <w:kern w:val="0"/>
                      <w:sz w:val="18"/>
                      <w:szCs w:val="18"/>
                      <w:lang w:val="en-US" w:eastAsia="zh-CN" w:bidi="ar"/>
                    </w:rPr>
                    <w:t xml:space="preserve"> </w:t>
                  </w:r>
                </w:p>
              </w:tc>
            </w:tr>
          </w:tbl>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注：样本应首选临床样本。</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4.连续工作时间：</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将流变仪/黏度计连续保持开机或待测状态8小时，8小时后检测结果应符合表4的要求。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192"/>
              <w:jc w:val="center"/>
              <w:rPr>
                <w:sz w:val="18"/>
                <w:szCs w:val="18"/>
              </w:rPr>
            </w:pPr>
            <w:r>
              <w:rPr>
                <w:rFonts w:hint="eastAsia" w:ascii="微软雅黑" w:hAnsi="微软雅黑" w:eastAsia="微软雅黑" w:cs="微软雅黑"/>
                <w:kern w:val="0"/>
                <w:sz w:val="21"/>
                <w:szCs w:val="21"/>
                <w:lang w:val="en-US" w:eastAsia="zh-CN" w:bidi="ar"/>
              </w:rPr>
              <w:t>表4连续工作时间要求</w:t>
            </w:r>
            <w:r>
              <w:rPr>
                <w:rFonts w:hint="eastAsia" w:ascii="宋体" w:hAnsi="宋体" w:eastAsia="宋体" w:cs="宋体"/>
                <w:kern w:val="0"/>
                <w:sz w:val="18"/>
                <w:szCs w:val="18"/>
                <w:lang w:val="en-US" w:eastAsia="zh-CN" w:bidi="ar"/>
              </w:rPr>
              <w:t xml:space="preserve"> </w:t>
            </w:r>
          </w:p>
          <w:tbl>
            <w:tblPr>
              <w:tblStyle w:val="7"/>
              <w:tblW w:w="7441"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3"/>
              <w:gridCol w:w="63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blCellSpacing w:w="15" w:type="dxa"/>
              </w:trPr>
              <w:tc>
                <w:tcPr>
                  <w:tcW w:w="1038" w:type="dxa"/>
                  <w:vMerge w:val="restart"/>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切变率(s</w:t>
                  </w:r>
                  <w:r>
                    <w:rPr>
                      <w:rFonts w:hint="eastAsia" w:ascii="微软雅黑" w:hAnsi="微软雅黑" w:eastAsia="微软雅黑" w:cs="微软雅黑"/>
                      <w:kern w:val="0"/>
                      <w:sz w:val="21"/>
                      <w:szCs w:val="21"/>
                      <w:vertAlign w:val="superscript"/>
                      <w:lang w:val="en-US" w:eastAsia="zh-CN" w:bidi="ar"/>
                    </w:rPr>
                    <w:t>-1</w:t>
                  </w: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6313"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牛顿标准物质黏度(mPa·s)及相对偏差要求</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038" w:type="dxa"/>
                  <w:vMerge w:val="continue"/>
                  <w:shd w:val="clear" w:color="auto" w:fill="auto"/>
                  <w:vAlign w:val="center"/>
                </w:tcPr>
                <w:p>
                  <w:pPr>
                    <w:rPr>
                      <w:rFonts w:hint="eastAsia" w:ascii="宋体"/>
                      <w:sz w:val="18"/>
                      <w:szCs w:val="18"/>
                    </w:rPr>
                  </w:pPr>
                </w:p>
              </w:tc>
              <w:tc>
                <w:tcPr>
                  <w:tcW w:w="6313"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231"/>
                    <w:jc w:val="center"/>
                    <w:rPr>
                      <w:sz w:val="18"/>
                      <w:szCs w:val="18"/>
                    </w:rPr>
                  </w:pPr>
                  <w:r>
                    <w:rPr>
                      <w:rFonts w:hint="eastAsia" w:ascii="微软雅黑" w:hAnsi="微软雅黑" w:eastAsia="微软雅黑" w:cs="微软雅黑"/>
                      <w:kern w:val="0"/>
                      <w:sz w:val="21"/>
                      <w:szCs w:val="21"/>
                      <w:lang w:val="en-US" w:eastAsia="zh-CN" w:bidi="ar"/>
                    </w:rPr>
                    <w:t>5±1</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03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both"/>
                    <w:rPr>
                      <w:sz w:val="18"/>
                      <w:szCs w:val="18"/>
                    </w:rPr>
                  </w:pPr>
                  <w:r>
                    <w:rPr>
                      <w:rFonts w:hint="eastAsia" w:ascii="微软雅黑" w:hAnsi="微软雅黑" w:eastAsia="微软雅黑" w:cs="微软雅黑"/>
                      <w:kern w:val="0"/>
                      <w:sz w:val="21"/>
                      <w:szCs w:val="21"/>
                      <w:lang w:val="en-US" w:eastAsia="zh-CN" w:bidi="ar"/>
                    </w:rPr>
                    <w:t>50</w:t>
                  </w:r>
                  <w:r>
                    <w:rPr>
                      <w:rFonts w:hint="eastAsia" w:ascii="宋体" w:hAnsi="宋体" w:eastAsia="宋体" w:cs="宋体"/>
                      <w:kern w:val="0"/>
                      <w:sz w:val="18"/>
                      <w:szCs w:val="18"/>
                      <w:lang w:val="en-US" w:eastAsia="zh-CN" w:bidi="ar"/>
                    </w:rPr>
                    <w:t xml:space="preserve"> </w:t>
                  </w:r>
                </w:p>
              </w:tc>
              <w:tc>
                <w:tcPr>
                  <w:tcW w:w="6313"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相对偏差（8小时后同一样本相对于初始时的黏度值）不超过±5%</w:t>
                  </w:r>
                  <w:r>
                    <w:rPr>
                      <w:rFonts w:hint="eastAsia" w:ascii="宋体" w:hAnsi="宋体" w:eastAsia="宋体" w:cs="宋体"/>
                      <w:kern w:val="0"/>
                      <w:sz w:val="18"/>
                      <w:szCs w:val="18"/>
                      <w:lang w:val="en-US" w:eastAsia="zh-CN" w:bidi="ar"/>
                    </w:rPr>
                    <w:t xml:space="preserve"> </w:t>
                  </w:r>
                </w:p>
              </w:tc>
            </w:tr>
          </w:tbl>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5.温度准确度、波动性：</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（1）样本测量区的温度应在设置值±0.5℃的范围内；</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（2）样本测量区温度的波动不超过±0.5℃。</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6.样本加样量准确度：对流变仪/黏度计标称的加样量进行检测，加样量应不小于仪器标称量（适用于全自动设备）。</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7.样本携带污染率：应符合表5的要求（适用于全自动设备）。</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164"/>
              <w:jc w:val="center"/>
              <w:rPr>
                <w:sz w:val="18"/>
                <w:szCs w:val="18"/>
              </w:rPr>
            </w:pPr>
            <w:r>
              <w:rPr>
                <w:rFonts w:hint="eastAsia" w:ascii="微软雅黑" w:hAnsi="微软雅黑" w:eastAsia="微软雅黑" w:cs="微软雅黑"/>
                <w:kern w:val="0"/>
                <w:sz w:val="21"/>
                <w:szCs w:val="21"/>
                <w:lang w:val="en-US" w:eastAsia="zh-CN" w:bidi="ar"/>
              </w:rPr>
              <w:t>表5 样本携带污染率要求</w:t>
            </w:r>
            <w:r>
              <w:rPr>
                <w:rFonts w:hint="eastAsia" w:ascii="宋体" w:hAnsi="宋体" w:eastAsia="宋体" w:cs="宋体"/>
                <w:kern w:val="0"/>
                <w:sz w:val="18"/>
                <w:szCs w:val="18"/>
                <w:lang w:val="en-US" w:eastAsia="zh-CN" w:bidi="ar"/>
              </w:rPr>
              <w:t xml:space="preserve"> </w:t>
            </w:r>
          </w:p>
          <w:tbl>
            <w:tblPr>
              <w:tblStyle w:val="7"/>
              <w:tblW w:w="4269"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3"/>
              <w:gridCol w:w="31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blCellSpacing w:w="15" w:type="dxa"/>
              </w:trPr>
              <w:tc>
                <w:tcPr>
                  <w:tcW w:w="103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切变率(s</w:t>
                  </w:r>
                  <w:r>
                    <w:rPr>
                      <w:rFonts w:hint="eastAsia" w:ascii="微软雅黑" w:hAnsi="微软雅黑" w:eastAsia="微软雅黑" w:cs="微软雅黑"/>
                      <w:kern w:val="0"/>
                      <w:sz w:val="21"/>
                      <w:szCs w:val="21"/>
                      <w:vertAlign w:val="superscript"/>
                      <w:lang w:val="en-US" w:eastAsia="zh-CN" w:bidi="ar"/>
                    </w:rPr>
                    <w:t>-1</w:t>
                  </w:r>
                  <w:r>
                    <w:rPr>
                      <w:rFonts w:hint="eastAsia" w:ascii="微软雅黑" w:hAnsi="微软雅黑" w:eastAsia="微软雅黑" w:cs="微软雅黑"/>
                      <w:kern w:val="0"/>
                      <w:sz w:val="21"/>
                      <w:szCs w:val="21"/>
                      <w:lang w:val="en-US" w:eastAsia="zh-CN" w:bidi="ar"/>
                    </w:rPr>
                    <w:t>)</w:t>
                  </w:r>
                  <w:r>
                    <w:rPr>
                      <w:rFonts w:hint="eastAsia" w:ascii="宋体" w:hAnsi="宋体" w:eastAsia="宋体" w:cs="宋体"/>
                      <w:kern w:val="0"/>
                      <w:sz w:val="18"/>
                      <w:szCs w:val="18"/>
                      <w:lang w:val="en-US" w:eastAsia="zh-CN" w:bidi="ar"/>
                    </w:rPr>
                    <w:t xml:space="preserve"> </w:t>
                  </w:r>
                </w:p>
              </w:tc>
              <w:tc>
                <w:tcPr>
                  <w:tcW w:w="3141"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1039"/>
                    <w:jc w:val="both"/>
                    <w:rPr>
                      <w:sz w:val="18"/>
                      <w:szCs w:val="18"/>
                    </w:rPr>
                  </w:pPr>
                  <w:r>
                    <w:rPr>
                      <w:rFonts w:hint="eastAsia" w:ascii="微软雅黑" w:hAnsi="微软雅黑" w:eastAsia="微软雅黑" w:cs="微软雅黑"/>
                      <w:kern w:val="0"/>
                      <w:sz w:val="21"/>
                      <w:szCs w:val="21"/>
                      <w:lang w:val="en-US" w:eastAsia="zh-CN" w:bidi="ar"/>
                    </w:rPr>
                    <w:t>样本携带污染率要求</w:t>
                  </w:r>
                  <w:r>
                    <w:rPr>
                      <w:rFonts w:hint="eastAsia" w:ascii="宋体" w:hAnsi="宋体" w:eastAsia="宋体" w:cs="宋体"/>
                      <w:kern w:val="0"/>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trPr>
              <w:tc>
                <w:tcPr>
                  <w:tcW w:w="1038"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480"/>
                    <w:jc w:val="both"/>
                    <w:rPr>
                      <w:sz w:val="18"/>
                      <w:szCs w:val="18"/>
                    </w:rPr>
                  </w:pPr>
                  <w:r>
                    <w:rPr>
                      <w:rFonts w:hint="eastAsia" w:ascii="微软雅黑" w:hAnsi="微软雅黑" w:eastAsia="微软雅黑" w:cs="微软雅黑"/>
                      <w:kern w:val="0"/>
                      <w:sz w:val="21"/>
                      <w:szCs w:val="21"/>
                      <w:lang w:val="en-US" w:eastAsia="zh-CN" w:bidi="ar"/>
                    </w:rPr>
                    <w:t>50</w:t>
                  </w:r>
                  <w:r>
                    <w:rPr>
                      <w:rFonts w:hint="eastAsia" w:ascii="宋体" w:hAnsi="宋体" w:eastAsia="宋体" w:cs="宋体"/>
                      <w:kern w:val="0"/>
                      <w:sz w:val="18"/>
                      <w:szCs w:val="18"/>
                      <w:lang w:val="en-US" w:eastAsia="zh-CN" w:bidi="ar"/>
                    </w:rPr>
                    <w:t xml:space="preserve"> </w:t>
                  </w:r>
                </w:p>
              </w:tc>
              <w:tc>
                <w:tcPr>
                  <w:tcW w:w="3141" w:type="dxa"/>
                  <w:shd w:val="clear" w:color="auto" w:fill="auto"/>
                  <w:vAlign w:val="center"/>
                </w:tcPr>
                <w:p>
                  <w:pPr>
                    <w:pStyle w:val="3"/>
                    <w:keepNext w:val="0"/>
                    <w:keepLines w:val="0"/>
                    <w:widowControl/>
                    <w:suppressLineNumbers w:val="0"/>
                    <w:spacing w:before="0" w:beforeAutospacing="1" w:after="0" w:afterAutospacing="1" w:line="390" w:lineRule="atLeast"/>
                    <w:ind w:left="0" w:right="0" w:firstLine="1848"/>
                    <w:jc w:val="both"/>
                    <w:rPr>
                      <w:sz w:val="18"/>
                      <w:szCs w:val="18"/>
                    </w:rPr>
                  </w:pPr>
                  <w:r>
                    <w:rPr>
                      <w:rFonts w:hint="eastAsia" w:ascii="微软雅黑" w:hAnsi="微软雅黑" w:eastAsia="微软雅黑" w:cs="微软雅黑"/>
                      <w:kern w:val="0"/>
                      <w:sz w:val="21"/>
                      <w:szCs w:val="21"/>
                      <w:lang w:val="en-US" w:eastAsia="zh-CN" w:bidi="ar"/>
                    </w:rPr>
                    <w:t>≤5%</w:t>
                  </w:r>
                  <w:r>
                    <w:rPr>
                      <w:rFonts w:hint="eastAsia" w:ascii="宋体" w:hAnsi="宋体" w:eastAsia="宋体" w:cs="宋体"/>
                      <w:kern w:val="0"/>
                      <w:sz w:val="18"/>
                      <w:szCs w:val="18"/>
                      <w:lang w:val="en-US" w:eastAsia="zh-CN" w:bidi="ar"/>
                    </w:rPr>
                    <w:t xml:space="preserve"> </w:t>
                  </w:r>
                </w:p>
              </w:tc>
            </w:tr>
          </w:tbl>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8.流变仪/黏度计基本功能</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（1）切变率应连续可调；</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 xml:space="preserve">（2）应具有显示测量区域的实时温度功能； </w:t>
            </w:r>
          </w:p>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（3）应具有使用标准黏度液进行仪器标定功能；</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（4）检测项目应至少包括黏度、切变率；；</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（5）应具有数据贮存（样本数据、质控数据）和输出功能。</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9.外观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（1）文字和标志应清晰可见；</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（2）表面应平整、光洁、色泽均匀、无磕碰、划伤及凹凸不平等缺陷；</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（3）紧固件连接应牢固可靠，不得有松动。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10.电磁兼容性</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应符合GB/T 18268.1-2010《测量、控制和实验室用的电设备 电磁兼容性要求 第1部分：通用要求》和GB/T 18268.26-2010《测量、控制和实验室用的电设备 电磁兼容性要求 第26部分：特殊要求 体外诊断(IVD)医疗设备》的要求。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11.安全性能</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应符合GB4793.1-2007《测量、控制和试验室用电气设备的安全要求 第1部分：通用要求》、GB4793.6-2008《测量、控制和实验室用电气设备的安全要求 第6部分：实验室用材料加热设备的特殊要求》、GB 4793.9-2013《测量、控制和实验室用电气设备的安全要求 第9部分：实验室用分析和其他目的自动和半自动设备的特殊要求》的要求以及YY0648-2008《测量、控制和实验室用电气设备的安全要求 第2-101部分：体外诊断（IVD）医用设备的专用要求》的要求。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12.环境试验</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应符合GB/T14710-2009《医用电气设备环境要求及试验方法》的要求。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left"/>
              <w:rPr>
                <w:sz w:val="18"/>
                <w:szCs w:val="18"/>
              </w:rPr>
            </w:pPr>
            <w:r>
              <w:rPr>
                <w:rFonts w:hint="eastAsia" w:ascii="微软雅黑" w:hAnsi="微软雅黑" w:eastAsia="微软雅黑" w:cs="微软雅黑"/>
                <w:kern w:val="0"/>
                <w:sz w:val="21"/>
                <w:szCs w:val="21"/>
                <w:lang w:val="en-US" w:eastAsia="zh-CN" w:bidi="ar"/>
              </w:rPr>
              <w:t>（九）同一注册单元中典型产品的确定原则</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血液流变仪/血液黏度计同一注册单元内所检测的产品应当是能够代表本注册单元内其他产品安全性和有效性的典型产品。</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left"/>
              <w:rPr>
                <w:sz w:val="18"/>
                <w:szCs w:val="18"/>
              </w:rPr>
            </w:pPr>
            <w:r>
              <w:rPr>
                <w:rFonts w:hint="eastAsia" w:ascii="微软雅黑" w:hAnsi="微软雅黑" w:eastAsia="微软雅黑" w:cs="微软雅黑"/>
                <w:kern w:val="0"/>
                <w:sz w:val="21"/>
                <w:szCs w:val="21"/>
                <w:lang w:val="en-US" w:eastAsia="zh-CN" w:bidi="ar"/>
              </w:rPr>
              <w:t>（十）产品的生产制造相关要求</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应当明确产品生产工艺过程，可采用流程图的形式，工艺过程应注明关键工序或特殊过程，并说明其过程控制点及其控制方式。有多个研制、生产场地，应当概述每个研制、生产场地的实际情况。</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left"/>
              <w:rPr>
                <w:sz w:val="18"/>
                <w:szCs w:val="18"/>
              </w:rPr>
            </w:pPr>
            <w:r>
              <w:rPr>
                <w:rFonts w:hint="eastAsia" w:ascii="微软雅黑" w:hAnsi="微软雅黑" w:eastAsia="微软雅黑" w:cs="微软雅黑"/>
                <w:kern w:val="0"/>
                <w:sz w:val="21"/>
                <w:szCs w:val="21"/>
                <w:lang w:val="en-US" w:eastAsia="zh-CN" w:bidi="ar"/>
              </w:rPr>
              <w:t>（十一）产品的临床评价细化要求</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根据《关于发布第二批免于进行临床试验医疗器械目录的通告》（国家食品药品监督管理总局通告2016年第133号），（以下简称《豁免目录》），“产品名称：血液流变仪/血液黏度计，分类编码：6840”包含在免于进行临床试验的第二类医疗器械目录中，注册申请人需按照《医疗器械临床评价技术指导原则》（国家食品药品监督管理总局通告2015年第14号）的要求提交临床评价资料。</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2.与《豁免目录》中产品结构组成、工作原理、适用范围不一致的产品，企业可以根据《医疗器械临床评价技术指导原则》（国家食品药品监督管理总局通告2015年第14号）的要求提交与同类产品的对比的临床评价资料或进行临床试验，临床试验资料的提供应符合《医疗器械临床试验质量管理规范》（国家食品药品监督管理总局 中华人民共和国国家卫生和计划生育委员会令2016年第25号）的要求。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具体评价指标应包括：</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1.准确度评价试验。</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准确度评估资料室拟上市产品的重要依据,也是产品注册所需要申报资料之一。本规范对采用方法学比对进行准确度评估的实验方法和数据处理方法进行了原则性要求。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（1）方法学比对的基本原则</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 xml:space="preserve">①熟悉待评价系统。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②编写仪器标准操作规程,其中包括校准程序和室内质控程序。</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③比对仪器的选择: 采用已经上市并经临床使用证明符合临床要求的仪器。</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④参与评价的人员应符合专业要求。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（2）方法学比对的评估及数据处理方法：</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①实验样品的基本要求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应符合实验室接受标本的要求，测定值应基本涵盖参考范围，其中至少有50%的标本测定结果在参考范围之外。</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②实验过程</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I.每天选择8个临床病人样本,在按1到8的顺序编号，用两种方法同时进行实验，按照1、2、3、4、5、6、7、8、8、7、6、5、4、3、2、1的样本顺序进行测定。</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II.以上实验至少重复5天,即至少分析40个不同的临床病人样本.每天实验必须进行校准和室内质控.只有在室内质控合格的情况下,当天的实验室数据才有效。</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③数据处理及结果报告</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I.记录测定结果(Xij和Yij)。</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II.计算每个样本测定的均值(Xi和Yi)，样本重复测定间差值的绝对值(DXi和DYi)及两种方法测定结果间的差值(Yi-Xi)。</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III.以Yi(比较方法的均值)对Xi(待评方法的均值)作散点图。</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IV.以两种方法测定结果间的差值(Yi-Xi)对Xi(待评方法的均值)作偏倚图。</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V.以两种方法的测定差值(Yij-Xij) 对Xi(待评方法的均值)作偏倚图。</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VI.检查批内离群点：计算样品重复测定间差值(DXi和DYi)的平均数，实验结果茶值超出平均数4倍时，则判断为离群点。</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VII.检查批间离群点：计算两种方法测定结果间均值差值(Xi和Yi)的平均数，超出该平均数4倍时，则判断该样本为离群点。</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VIII.相关系数计算：利用所有样本双份测定值进行相关系数计算 ，如果r0.975（或r20.95），则认为X范围适合。X的误差可以由数据范围给以适合补偿，并且简单的线性回归可以用来评价斜率和截距。如果r20.95，那麽必须通过分析一些样品以扩大数据范围，然后再检查全部数据系列。如果没有超出范围，采用分步偏差程序代替线性回归，评价平均偏差。</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IX.回归计算：利用所有样本双份的有效数据，计算两个方法间的线性回归方程：Y=a+Bx。</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X.偏差估计：在医学决定水平，利用回归方程计算预期偏差，预期偏差Bx=a+（b-1）X，相对偏差=Bx/X。</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XI.临床可接受准则：</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相对偏倚的预期偏差应小于7.5%-10%。</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2.精密度评价试验</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精密度评价试验应选择具有医学决定水平的正常和异常浓度的质控品，在送检仪器校准的当天每隔1h测定1次，共测定10次，计算出均值、标准差和CV值为批内精密度；批间精密度每天取出这两种质控物各1份，放置室温混合均匀后，连续测定20天，所有测定均为双管平行测定，计算出均值、标准差和CV值为批间精密度。评价结果应符合CV值应小于5%。</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注：医学决定水平由临床试验机构根据相关文献资料确定。</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left"/>
              <w:rPr>
                <w:sz w:val="18"/>
                <w:szCs w:val="18"/>
              </w:rPr>
            </w:pPr>
            <w:r>
              <w:rPr>
                <w:rFonts w:hint="eastAsia" w:ascii="微软雅黑" w:hAnsi="微软雅黑" w:eastAsia="微软雅黑" w:cs="微软雅黑"/>
                <w:kern w:val="0"/>
                <w:sz w:val="21"/>
                <w:szCs w:val="21"/>
                <w:lang w:val="en-US" w:eastAsia="zh-CN" w:bidi="ar"/>
              </w:rPr>
              <w:t>（十二）产品的不良事件历史记录</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暂未见相关报道。</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left"/>
              <w:rPr>
                <w:sz w:val="18"/>
                <w:szCs w:val="18"/>
              </w:rPr>
            </w:pPr>
            <w:r>
              <w:rPr>
                <w:rFonts w:hint="eastAsia" w:ascii="微软雅黑" w:hAnsi="微软雅黑" w:eastAsia="微软雅黑" w:cs="微软雅黑"/>
                <w:kern w:val="0"/>
                <w:sz w:val="21"/>
                <w:szCs w:val="21"/>
                <w:lang w:val="en-US" w:eastAsia="zh-CN" w:bidi="ar"/>
              </w:rPr>
              <w:t>（十三）产品说明书和标签要求</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说明书应当符合《医疗器械说明书和标签管理规定》（国家食品药品监督管理总局令第6号）的要求，审查要点为：</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1.产品正常操作的流程简图或正常操作的详细步骤，如对旋转法不同测试原理的操作方法说明；</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2.正常工作条件的说明；</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3.应当有警示性的说明；</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4.明确仪器使用标准黏度液标定方法；</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5.常见故障的处理方法；</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6.产品结构组成说明；</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7.产品的日常保养和维护的要求和方法，如对测量部分、管路(适用于全自动设备)、废液瓶等部件定期清洗的要求和方法，以及电磁阀、管路等部件定期更换的要求和方法；</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8.产品耗材、配件的说明；</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9.关键部件的推荐使用寿命，如测量部分；</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10．明确切变率范围，并标明切变率所对应的黏度值；</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11．明确黏度范围，并标明黏度所对应的切变率值。（若包括不同的方法学，应分别描述）</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标签应符合《医疗器械说明书和标签管理规定》（国家食品药品监督管理总局令第6号）和YY/T 0466.1-2009《医疗器械 用于医疗器械标签、标记和提供信息的符号》中的相关要求。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left"/>
              <w:rPr>
                <w:sz w:val="18"/>
                <w:szCs w:val="18"/>
              </w:rPr>
            </w:pPr>
            <w:r>
              <w:rPr>
                <w:rFonts w:hint="eastAsia" w:ascii="微软雅黑" w:hAnsi="微软雅黑" w:eastAsia="微软雅黑" w:cs="微软雅黑"/>
                <w:kern w:val="0"/>
                <w:sz w:val="21"/>
                <w:szCs w:val="21"/>
                <w:lang w:val="en-US" w:eastAsia="zh-CN" w:bidi="ar"/>
              </w:rPr>
              <w:t>（十四）产品的研究资料要求</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根据所申报的产品，提供适用的研究资料。</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1.产品性能研究</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应当提供产品性能研究资料以及产品技术要求的研究和编制说明，包括功能性、安全性指标（如电气安全与电磁兼容）以及与质量控制相关的其他指标的确定依据，所采用的标准或方法、采用的原因及理论基础。</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2.产品有效期和包装研究</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（1）有效期的确定：应当提供产品有效期的验证报告。</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（2）包装及包装完整性：在宣称的有效期内以及运输储存条件下，保持包装完整性的依据。</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3.软件研究</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参见《医疗器械软件注册技术审查指导原则》（国家食品药品监督管理总局通告2015年第50号）的相关要求。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三、审查关注点</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审查中需重点关注以下几个方面：</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left"/>
              <w:rPr>
                <w:sz w:val="18"/>
                <w:szCs w:val="18"/>
              </w:rPr>
            </w:pPr>
            <w:r>
              <w:rPr>
                <w:rFonts w:hint="eastAsia" w:ascii="微软雅黑" w:hAnsi="微软雅黑" w:eastAsia="微软雅黑" w:cs="微软雅黑"/>
                <w:kern w:val="0"/>
                <w:sz w:val="21"/>
                <w:szCs w:val="21"/>
                <w:lang w:val="en-US" w:eastAsia="zh-CN" w:bidi="ar"/>
              </w:rPr>
              <w:t>（一）注册产品技术要求的编制要求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该产品的安全、性能要求分别由国家标准、行业标准规定的要求进行检查，因此企业根据产品的特性编写注册产品技术要求。注册产品应符合相关的强制性国家标准、行业标准和有关法律、法规的规定，并按国家食品药品监督管理局公布的《医疗器械产品技术要求编写指导原则》（国家食品药品监督管理总局通告2014年第9号）的要求编制。</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（二）未完全符合《豁免目录》要求的血液流变仪/血液黏度计产品，应进行临床试验。进行临床试验的流变仪/黏度计产品的临床试验方案是否能验证产品的预期用途，临床试验结论是否明确。</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（三）血液流变仪/血液黏度计产品的适用范围是否明确。</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（四）血液流变仪/血液黏度计产品使用说明书中的方法学与临床试验资料中阐述的是否一致。</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（五）产品的主要风险是否已经列举，并通过风险控制措施使产品的安全性在合理可接受的程度之内。</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left"/>
              <w:rPr>
                <w:sz w:val="18"/>
                <w:szCs w:val="18"/>
              </w:rPr>
            </w:pPr>
            <w:r>
              <w:rPr>
                <w:rFonts w:hint="eastAsia" w:ascii="微软雅黑" w:hAnsi="微软雅黑" w:eastAsia="微软雅黑" w:cs="微软雅黑"/>
                <w:kern w:val="0"/>
                <w:sz w:val="21"/>
                <w:szCs w:val="21"/>
                <w:lang w:val="en-US" w:eastAsia="zh-CN" w:bidi="ar"/>
              </w:rPr>
              <w:t>（六）检测报告中电磁兼容检验应与电气安全检验关联。</w:t>
            </w:r>
            <w:r>
              <w:rPr>
                <w:rFonts w:hint="default" w:ascii="仿宋_GB2312" w:eastAsia="仿宋_GB2312" w:cs="仿宋_GB2312"/>
                <w:kern w:val="0"/>
                <w:sz w:val="18"/>
                <w:szCs w:val="18"/>
                <w:lang w:val="en-US" w:eastAsia="zh-CN" w:bidi="ar"/>
              </w:rPr>
              <w:t xml:space="preserve"> </w:t>
            </w:r>
          </w:p>
          <w:p>
            <w:pPr>
              <w:keepNext w:val="0"/>
              <w:keepLines w:val="0"/>
              <w:widowControl/>
              <w:suppressLineNumbers w:val="0"/>
              <w:spacing w:before="300" w:beforeAutospacing="0"/>
              <w:jc w:val="left"/>
            </w:pPr>
          </w:p>
          <w:p>
            <w:pPr>
              <w:pStyle w:val="3"/>
              <w:keepNext w:val="0"/>
              <w:keepLines w:val="0"/>
              <w:widowControl/>
              <w:suppressLineNumbers w:val="0"/>
              <w:spacing w:before="300" w:beforeAutospacing="0" w:after="0" w:afterAutospacing="1" w:line="390" w:lineRule="atLeast"/>
              <w:ind w:left="0" w:right="0"/>
              <w:jc w:val="left"/>
              <w:rPr>
                <w:sz w:val="18"/>
                <w:szCs w:val="18"/>
              </w:rPr>
            </w:pPr>
            <w:r>
              <w:rPr>
                <w:rFonts w:hint="eastAsia" w:ascii="微软雅黑" w:hAnsi="微软雅黑" w:eastAsia="微软雅黑" w:cs="微软雅黑"/>
                <w:kern w:val="0"/>
                <w:sz w:val="21"/>
                <w:szCs w:val="21"/>
                <w:lang w:val="en-US" w:eastAsia="zh-CN" w:bidi="ar"/>
              </w:rPr>
              <w:t>附录</w:t>
            </w:r>
            <w:r>
              <w:rPr>
                <w:rFonts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一、本规范涉及的计算方法</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（一）线性回归</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将每份样品的X方法的第一个结果和Y方法的第一个对应，X方法的第二个结果和Y方法的第二个对应。对这些数据进行回归统计，计算公式为：</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回归直线的斜率：</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截距：</w:t>
            </w:r>
            <w:r>
              <w:rPr>
                <w:rFonts w:hint="default" w:ascii="Times New Roman" w:hAnsi="Times New Roman" w:cs="Times New Roman"/>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相关系数：</w:t>
            </w:r>
            <w:r>
              <w:rPr>
                <w:rFonts w:hint="default" w:ascii="Times New Roman" w:hAnsi="Times New Roman" w:cs="Times New Roman"/>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（二）系统误差与临床可接受准则的比较</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在给定的医学决定水平Xc（第三版《全国临床实验室操作规程》P62）上的预期偏倚Bc^（系统误差）的计算公式为：</w:t>
            </w:r>
            <w:r>
              <w:rPr>
                <w:rFonts w:hint="default" w:ascii="Times New Roman" w:hAnsi="Times New Roman" w:cs="Times New Roman"/>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SE(Bc^) = a +（b-1）Xc</w:t>
            </w:r>
            <w:r>
              <w:rPr>
                <w:rFonts w:hint="default" w:ascii="Times New Roman" w:hAnsi="Times New Roman" w:cs="Times New Roman"/>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（三）预期偏倚及其可信区间</w:t>
            </w:r>
            <w:r>
              <w:rPr>
                <w:rFonts w:hint="default" w:ascii="楷体_GB2312" w:eastAsia="楷体_GB2312" w:cs="楷体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因数据通过了适合范围和均匀离散度检查。</w:t>
            </w:r>
            <w:r>
              <w:rPr>
                <w:rFonts w:hint="default" w:ascii="Times New Roman" w:hAnsi="Times New Roman" w:cs="Times New Roman"/>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 xml:space="preserve">预期值：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在医学决定水平Xc浓度点的预期值 Y^ = a + b Xc。</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预期值的标准误: （Sy.x）</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在医学决定水平Xc浓度点的95%可信区间（在Xc的真正偏倚）为：</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22"/>
              <w:jc w:val="left"/>
              <w:rPr>
                <w:sz w:val="18"/>
                <w:szCs w:val="18"/>
              </w:rPr>
            </w:pPr>
            <w:r>
              <w:rPr>
                <w:rFonts w:hint="eastAsia" w:ascii="微软雅黑" w:hAnsi="微软雅黑" w:eastAsia="微软雅黑" w:cs="微软雅黑"/>
                <w:kern w:val="0"/>
                <w:sz w:val="21"/>
                <w:szCs w:val="21"/>
                <w:lang w:val="en-US" w:eastAsia="zh-CN" w:bidi="ar"/>
              </w:rPr>
              <w:t>二、计算公式中符号说明：</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（一）X 比对方法</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（二）Y 待评方法</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（三）i 样品号（由1、2、3到N，N=样品总数）</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（四）j 重复测定的观测值</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0"/>
              <w:jc w:val="both"/>
              <w:rPr>
                <w:sz w:val="18"/>
                <w:szCs w:val="18"/>
              </w:rPr>
            </w:pPr>
            <w:r>
              <w:rPr>
                <w:rFonts w:hint="eastAsia" w:ascii="微软雅黑" w:hAnsi="微软雅黑" w:eastAsia="微软雅黑" w:cs="微软雅黑"/>
                <w:kern w:val="0"/>
                <w:sz w:val="21"/>
                <w:szCs w:val="21"/>
                <w:lang w:val="en-US" w:eastAsia="zh-CN" w:bidi="ar"/>
              </w:rPr>
              <w:t>（五）Xij或Yij 指第i次测定中，第j个重复观测值</w:t>
            </w:r>
            <w:r>
              <w:rPr>
                <w:rFonts w:hint="default" w:ascii="仿宋_GB2312" w:eastAsia="仿宋_GB2312" w:cs="仿宋_GB2312"/>
                <w:kern w:val="0"/>
                <w:sz w:val="18"/>
                <w:szCs w:val="18"/>
                <w:lang w:val="en-US" w:eastAsia="zh-CN" w:bidi="ar"/>
              </w:rPr>
              <w:t xml:space="preserve"> </w:t>
            </w:r>
          </w:p>
          <w:p>
            <w:pPr>
              <w:keepNext w:val="0"/>
              <w:keepLines w:val="0"/>
              <w:widowControl/>
              <w:suppressLineNumbers w:val="0"/>
              <w:spacing w:before="300" w:beforeAutospacing="0"/>
              <w:jc w:val="left"/>
            </w:pPr>
          </w:p>
          <w:p>
            <w:pPr>
              <w:pStyle w:val="3"/>
              <w:keepNext w:val="0"/>
              <w:keepLines w:val="0"/>
              <w:widowControl/>
              <w:suppressLineNumbers w:val="0"/>
              <w:spacing w:before="300" w:beforeAutospacing="0" w:after="0" w:afterAutospacing="1" w:line="390" w:lineRule="atLeast"/>
              <w:ind w:left="0" w:right="0"/>
              <w:jc w:val="center"/>
              <w:rPr>
                <w:sz w:val="18"/>
                <w:szCs w:val="18"/>
              </w:rPr>
            </w:pPr>
            <w:r>
              <w:rPr>
                <w:rFonts w:hint="eastAsia" w:ascii="微软雅黑" w:hAnsi="微软雅黑" w:eastAsia="微软雅黑" w:cs="微软雅黑"/>
                <w:kern w:val="0"/>
                <w:sz w:val="21"/>
                <w:szCs w:val="21"/>
                <w:lang w:val="en-US" w:eastAsia="zh-CN" w:bidi="ar"/>
              </w:rPr>
              <w:t>血液流变仪/血液黏度计产品</w:t>
            </w:r>
            <w:r>
              <w:rPr>
                <w:rFonts w:hint="default" w:ascii="方正小标宋简体" w:hAnsi="方正小标宋简体" w:eastAsia="方正小标宋简体" w:cs="方正小标宋简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jc w:val="center"/>
              <w:rPr>
                <w:sz w:val="18"/>
                <w:szCs w:val="18"/>
              </w:rPr>
            </w:pPr>
            <w:r>
              <w:rPr>
                <w:rFonts w:hint="eastAsia" w:ascii="微软雅黑" w:hAnsi="微软雅黑" w:eastAsia="微软雅黑" w:cs="微软雅黑"/>
                <w:kern w:val="0"/>
                <w:sz w:val="21"/>
                <w:szCs w:val="21"/>
                <w:lang w:val="en-US" w:eastAsia="zh-CN" w:bidi="ar"/>
              </w:rPr>
              <w:t>技术审评规范（2017版）修订说明</w:t>
            </w:r>
            <w:r>
              <w:rPr>
                <w:rFonts w:hint="default" w:ascii="方正小标宋简体" w:hAnsi="方正小标宋简体" w:eastAsia="方正小标宋简体" w:cs="方正小标宋简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both"/>
              <w:rPr>
                <w:sz w:val="18"/>
                <w:szCs w:val="18"/>
              </w:rPr>
            </w:pPr>
            <w:r>
              <w:rPr>
                <w:rFonts w:hint="eastAsia" w:ascii="微软雅黑" w:hAnsi="微软雅黑" w:eastAsia="微软雅黑" w:cs="微软雅黑"/>
                <w:kern w:val="0"/>
                <w:sz w:val="21"/>
                <w:szCs w:val="21"/>
                <w:lang w:val="en-US" w:eastAsia="zh-CN" w:bidi="ar"/>
              </w:rPr>
              <w:t>一、起草目的和背景</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both"/>
              <w:rPr>
                <w:sz w:val="18"/>
                <w:szCs w:val="18"/>
              </w:rPr>
            </w:pPr>
            <w:r>
              <w:rPr>
                <w:rFonts w:hint="eastAsia" w:ascii="微软雅黑" w:hAnsi="微软雅黑" w:eastAsia="微软雅黑" w:cs="微软雅黑"/>
                <w:kern w:val="0"/>
                <w:sz w:val="21"/>
                <w:szCs w:val="21"/>
                <w:lang w:val="en-US" w:eastAsia="zh-CN" w:bidi="ar"/>
              </w:rPr>
              <w:t>自2014年10月1日新版《医疗器械注册管理办法》以及相关文件实施后，以及行业标准YY/T 1460-2016血液流变仪的出台后，之前的技术审评规范中的部分内容与现行法规、行业标准不符，特别是原审评规范中仅体现旋转法一种工作原理的仪器要求，已无法满足目前注册产品的需求，为了满足审核人员和企业申报注册人员的需要，特进行本次修订。</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both"/>
              <w:rPr>
                <w:sz w:val="18"/>
                <w:szCs w:val="18"/>
              </w:rPr>
            </w:pPr>
            <w:r>
              <w:rPr>
                <w:rFonts w:hint="eastAsia" w:ascii="微软雅黑" w:hAnsi="微软雅黑" w:eastAsia="微软雅黑" w:cs="微软雅黑"/>
                <w:kern w:val="0"/>
                <w:sz w:val="21"/>
                <w:szCs w:val="21"/>
                <w:lang w:val="en-US" w:eastAsia="zh-CN" w:bidi="ar"/>
              </w:rPr>
              <w:t>二、编写依据</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both"/>
              <w:rPr>
                <w:sz w:val="18"/>
                <w:szCs w:val="18"/>
              </w:rPr>
            </w:pPr>
            <w:r>
              <w:rPr>
                <w:rFonts w:hint="eastAsia" w:ascii="微软雅黑" w:hAnsi="微软雅黑" w:eastAsia="微软雅黑" w:cs="微软雅黑"/>
                <w:kern w:val="0"/>
                <w:sz w:val="21"/>
                <w:szCs w:val="21"/>
                <w:lang w:val="en-US" w:eastAsia="zh-CN" w:bidi="ar"/>
              </w:rPr>
              <w:t>本审评规范主要依据《医疗器械监督管理条例》（中华人民共和国国务院令第650号）、《医疗器械注册管理办法》（国家食品药品监督管理总局令第4号）、《医疗器械说明书和标签管理规定》（国家食品药品监督管理总局令第6号）、产品注册相关规范性文件及YY/T 1460-2016《血液流变仪》的相关要求，结合血液流变仪产品的特点，制定本规范。</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both"/>
              <w:rPr>
                <w:sz w:val="18"/>
                <w:szCs w:val="18"/>
              </w:rPr>
            </w:pPr>
            <w:r>
              <w:rPr>
                <w:rFonts w:hint="eastAsia" w:ascii="微软雅黑" w:hAnsi="微软雅黑" w:eastAsia="微软雅黑" w:cs="微软雅黑"/>
                <w:kern w:val="0"/>
                <w:sz w:val="21"/>
                <w:szCs w:val="21"/>
                <w:lang w:val="en-US" w:eastAsia="zh-CN" w:bidi="ar"/>
              </w:rPr>
              <w:t>三、重点内容说明</w:t>
            </w:r>
            <w:r>
              <w:rPr>
                <w:rFonts w:hint="eastAsia" w:ascii="黑体" w:hAnsi="宋体" w:eastAsia="黑体" w:cs="黑体"/>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both"/>
              <w:rPr>
                <w:sz w:val="18"/>
                <w:szCs w:val="18"/>
              </w:rPr>
            </w:pPr>
            <w:r>
              <w:rPr>
                <w:rFonts w:hint="eastAsia" w:ascii="微软雅黑" w:hAnsi="微软雅黑" w:eastAsia="微软雅黑" w:cs="微软雅黑"/>
                <w:kern w:val="0"/>
                <w:sz w:val="21"/>
                <w:szCs w:val="21"/>
                <w:lang w:val="en-US" w:eastAsia="zh-CN" w:bidi="ar"/>
              </w:rPr>
              <w:t>正文实质性修改主要涉及以下几点：</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both"/>
              <w:rPr>
                <w:sz w:val="18"/>
                <w:szCs w:val="18"/>
              </w:rPr>
            </w:pPr>
            <w:r>
              <w:rPr>
                <w:rFonts w:hint="eastAsia" w:ascii="微软雅黑" w:hAnsi="微软雅黑" w:eastAsia="微软雅黑" w:cs="微软雅黑"/>
                <w:kern w:val="0"/>
                <w:sz w:val="21"/>
                <w:szCs w:val="21"/>
                <w:lang w:val="en-US" w:eastAsia="zh-CN" w:bidi="ar"/>
              </w:rPr>
              <w:t>（一）参照国家食品药品监督管理总局注册技术审查指导原则编写格式的最新要求对原审评规范的整体格式加以规范，并按照要求增加“产品生产制造相关要求”和“产品的不良事件历史记录”两项内容。</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both"/>
              <w:rPr>
                <w:sz w:val="18"/>
                <w:szCs w:val="18"/>
              </w:rPr>
            </w:pPr>
            <w:r>
              <w:rPr>
                <w:rFonts w:hint="eastAsia" w:ascii="微软雅黑" w:hAnsi="微软雅黑" w:eastAsia="微软雅黑" w:cs="微软雅黑"/>
                <w:kern w:val="0"/>
                <w:sz w:val="21"/>
                <w:szCs w:val="21"/>
                <w:lang w:val="en-US" w:eastAsia="zh-CN" w:bidi="ar"/>
              </w:rPr>
              <w:t xml:space="preserve">（二）产品的结构与组成按照《豁免目录》中产品的结构进行了规范，修改后的内容与《豁免目录》保持一致。 </w:t>
            </w:r>
          </w:p>
          <w:p>
            <w:pPr>
              <w:pStyle w:val="3"/>
              <w:keepNext w:val="0"/>
              <w:keepLines w:val="0"/>
              <w:widowControl/>
              <w:suppressLineNumbers w:val="0"/>
              <w:spacing w:before="300" w:beforeAutospacing="0" w:after="0" w:afterAutospacing="1" w:line="390" w:lineRule="atLeast"/>
              <w:ind w:left="0" w:right="0" w:firstLine="641"/>
              <w:jc w:val="both"/>
              <w:rPr>
                <w:sz w:val="18"/>
                <w:szCs w:val="18"/>
              </w:rPr>
            </w:pPr>
            <w:r>
              <w:rPr>
                <w:rFonts w:hint="eastAsia" w:ascii="微软雅黑" w:hAnsi="微软雅黑" w:eastAsia="微软雅黑" w:cs="微软雅黑"/>
                <w:kern w:val="0"/>
                <w:sz w:val="21"/>
                <w:szCs w:val="21"/>
                <w:lang w:val="en-US" w:eastAsia="zh-CN" w:bidi="ar"/>
              </w:rPr>
              <w:t>（三）增加以毛细管法为工作原理的产品的相关要求。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both"/>
              <w:rPr>
                <w:sz w:val="18"/>
                <w:szCs w:val="18"/>
              </w:rPr>
            </w:pPr>
            <w:r>
              <w:rPr>
                <w:rFonts w:hint="eastAsia" w:ascii="微软雅黑" w:hAnsi="微软雅黑" w:eastAsia="微软雅黑" w:cs="微软雅黑"/>
                <w:kern w:val="0"/>
                <w:sz w:val="21"/>
                <w:szCs w:val="21"/>
                <w:lang w:val="en-US" w:eastAsia="zh-CN" w:bidi="ar"/>
              </w:rPr>
              <w:t>（四）产品适用的相关标准中增加了安全要求标准GB 4793.9-2013，GB 4793.6-2008；电磁兼容标准GB/T 18268.1-2010和GB/T 18268.26-2010。</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both"/>
              <w:rPr>
                <w:sz w:val="18"/>
                <w:szCs w:val="18"/>
              </w:rPr>
            </w:pPr>
            <w:r>
              <w:rPr>
                <w:rFonts w:hint="eastAsia" w:ascii="微软雅黑" w:hAnsi="微软雅黑" w:eastAsia="微软雅黑" w:cs="微软雅黑"/>
                <w:kern w:val="0"/>
                <w:sz w:val="21"/>
                <w:szCs w:val="21"/>
                <w:lang w:val="en-US" w:eastAsia="zh-CN" w:bidi="ar"/>
              </w:rPr>
              <w:t>（五）按照法规要求增加产品研究资料的要求。</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both"/>
              <w:rPr>
                <w:sz w:val="18"/>
                <w:szCs w:val="18"/>
              </w:rPr>
            </w:pPr>
            <w:r>
              <w:rPr>
                <w:rFonts w:hint="eastAsia" w:ascii="微软雅黑" w:hAnsi="微软雅黑" w:eastAsia="微软雅黑" w:cs="微软雅黑"/>
                <w:kern w:val="0"/>
                <w:sz w:val="21"/>
                <w:szCs w:val="21"/>
                <w:lang w:val="en-US" w:eastAsia="zh-CN" w:bidi="ar"/>
              </w:rPr>
              <w:t>（六）产品性能指标中按照YY/T 1460-2016对产品性能指标进行了更改；增加了安全要求GB4793.6-2008和GB 4793.9-2013，电磁兼容要求GB/T 18268.1-2010和GB/T 18268.26-2010。</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both"/>
              <w:rPr>
                <w:sz w:val="18"/>
                <w:szCs w:val="18"/>
              </w:rPr>
            </w:pPr>
            <w:r>
              <w:rPr>
                <w:rFonts w:hint="eastAsia" w:ascii="微软雅黑" w:hAnsi="微软雅黑" w:eastAsia="微软雅黑" w:cs="微软雅黑"/>
                <w:kern w:val="0"/>
                <w:sz w:val="21"/>
                <w:szCs w:val="21"/>
                <w:lang w:val="en-US" w:eastAsia="zh-CN" w:bidi="ar"/>
              </w:rPr>
              <w:t>（七）同一注册单元内注册检验代表产品的确定原则和实例中详述了确定原则，并增加了实例。</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both"/>
              <w:rPr>
                <w:sz w:val="18"/>
                <w:szCs w:val="18"/>
              </w:rPr>
            </w:pPr>
            <w:r>
              <w:rPr>
                <w:rFonts w:hint="eastAsia" w:ascii="微软雅黑" w:hAnsi="微软雅黑" w:eastAsia="微软雅黑" w:cs="微软雅黑"/>
                <w:kern w:val="0"/>
                <w:sz w:val="21"/>
                <w:szCs w:val="21"/>
                <w:lang w:val="en-US" w:eastAsia="zh-CN" w:bidi="ar"/>
              </w:rPr>
              <w:t>（八）产品的临床评价的细化要求中由于血液流变仪/血液黏度计属于豁免目录中的产品，因此属于《豁免目录》范围内的产品无需提供临床试验资料。但是若产品的性能结构或预期用途与《豁免目录》中不一致，应提供与同类产品比对的临床评价资料；需要进行临床试验的应按照要求进行临床试验。</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firstLine="641"/>
              <w:jc w:val="both"/>
              <w:rPr>
                <w:sz w:val="18"/>
                <w:szCs w:val="18"/>
              </w:rPr>
            </w:pPr>
            <w:r>
              <w:rPr>
                <w:rFonts w:hint="eastAsia" w:ascii="微软雅黑" w:hAnsi="微软雅黑" w:eastAsia="微软雅黑" w:cs="微软雅黑"/>
                <w:kern w:val="0"/>
                <w:sz w:val="21"/>
                <w:szCs w:val="21"/>
                <w:lang w:val="en-US" w:eastAsia="zh-CN" w:bidi="ar"/>
              </w:rPr>
              <w:t>（九）审查关注点中将注册产品标准中需要注意的问题更改为产品技术要求中需要注意的问题。增加了产品风险和安全检验报告和电磁兼容检验报告的关联性两个关注点。</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　</w:t>
            </w:r>
            <w:r>
              <w:rPr>
                <w:rFonts w:hint="default" w:ascii="仿宋_GB2312" w:eastAsia="仿宋_GB2312" w:cs="仿宋_GB2312"/>
                <w:kern w:val="0"/>
                <w:sz w:val="18"/>
                <w:szCs w:val="18"/>
                <w:lang w:val="en-US" w:eastAsia="zh-CN" w:bidi="ar"/>
              </w:rPr>
              <w:t xml:space="preserve"> </w:t>
            </w:r>
          </w:p>
          <w:p>
            <w:pPr>
              <w:pStyle w:val="3"/>
              <w:keepNext w:val="0"/>
              <w:keepLines w:val="0"/>
              <w:widowControl/>
              <w:suppressLineNumbers w:val="0"/>
              <w:spacing w:before="300" w:beforeAutospacing="0" w:after="0" w:afterAutospacing="1" w:line="390" w:lineRule="atLeast"/>
              <w:ind w:left="0" w:right="0"/>
              <w:jc w:val="both"/>
              <w:rPr>
                <w:sz w:val="18"/>
                <w:szCs w:val="18"/>
              </w:rPr>
            </w:pPr>
            <w:r>
              <w:rPr>
                <w:rFonts w:hint="eastAsia" w:ascii="微软雅黑" w:hAnsi="微软雅黑" w:eastAsia="微软雅黑" w:cs="微软雅黑"/>
                <w:kern w:val="0"/>
                <w:sz w:val="21"/>
                <w:szCs w:val="21"/>
                <w:lang w:val="en-US" w:eastAsia="zh-CN" w:bidi="ar"/>
              </w:rPr>
              <w:t>　</w:t>
            </w:r>
            <w:bookmarkStart w:id="0" w:name="CopySend"/>
            <w:bookmarkEnd w:id="0"/>
            <w:r>
              <w:rPr>
                <w:rFonts w:hint="eastAsia" w:ascii="微软雅黑" w:hAnsi="微软雅黑" w:eastAsia="微软雅黑" w:cs="微软雅黑"/>
                <w:kern w:val="0"/>
                <w:sz w:val="21"/>
                <w:szCs w:val="21"/>
                <w:lang w:val="en-US" w:eastAsia="zh-CN" w:bidi="ar"/>
              </w:rPr>
              <w:t xml:space="preserve">北京市食品药品监督管理局办公室 </w:t>
            </w:r>
            <w:bookmarkStart w:id="1" w:name="nowTime"/>
            <w:r>
              <w:rPr>
                <w:rFonts w:hint="eastAsia" w:ascii="微软雅黑" w:hAnsi="微软雅黑" w:eastAsia="微软雅黑" w:cs="微软雅黑"/>
                <w:kern w:val="0"/>
                <w:sz w:val="21"/>
                <w:szCs w:val="21"/>
                <w:u w:val="none"/>
                <w:lang w:val="en-US" w:eastAsia="zh-CN" w:bidi="ar"/>
              </w:rPr>
              <w:t>2017年5月26日</w:t>
            </w:r>
            <w:bookmarkEnd w:id="1"/>
            <w:r>
              <w:rPr>
                <w:rFonts w:hint="eastAsia" w:ascii="微软雅黑" w:hAnsi="微软雅黑" w:eastAsia="微软雅黑" w:cs="微软雅黑"/>
                <w:kern w:val="0"/>
                <w:sz w:val="21"/>
                <w:szCs w:val="21"/>
                <w:lang w:val="en-US" w:eastAsia="zh-CN" w:bidi="ar"/>
              </w:rPr>
              <w:t>印发　</w:t>
            </w:r>
            <w:r>
              <w:rPr>
                <w:rFonts w:hint="default" w:ascii="仿宋_GB2312" w:eastAsia="仿宋_GB2312" w:cs="仿宋_GB2312"/>
                <w:kern w:val="0"/>
                <w:sz w:val="18"/>
                <w:szCs w:val="18"/>
                <w:lang w:val="en-US" w:eastAsia="zh-CN" w:bidi="ar"/>
              </w:rPr>
              <w:t xml:space="preserve"> </w:t>
            </w:r>
          </w:p>
          <w:p>
            <w:pPr>
              <w:keepNext w:val="0"/>
              <w:keepLines w:val="0"/>
              <w:widowControl/>
              <w:suppressLineNumbers w:val="0"/>
              <w:spacing w:before="300" w:beforeAutospacing="0"/>
              <w:jc w:val="left"/>
            </w:pPr>
          </w:p>
        </w:tc>
      </w:tr>
      <w:tr>
        <w:tblPrEx>
          <w:tblLayout w:type="fixed"/>
          <w:tblCellMar>
            <w:top w:w="45" w:type="dxa"/>
            <w:left w:w="45" w:type="dxa"/>
            <w:bottom w:w="45" w:type="dxa"/>
            <w:right w:w="45" w:type="dxa"/>
          </w:tblCellMar>
        </w:tblPrEx>
        <w:trPr>
          <w:trHeight w:val="600" w:hRule="atLeast"/>
          <w:tblCellSpacing w:w="7" w:type="dxa"/>
        </w:trPr>
        <w:tc>
          <w:tcPr>
            <w:tcW w:w="10556" w:type="dxa"/>
            <w:shd w:val="clear" w:color="auto" w:fill="auto"/>
            <w:vAlign w:val="center"/>
          </w:tcPr>
          <w:tbl>
            <w:tblPr>
              <w:tblStyle w:val="7"/>
              <w:tblW w:w="10466" w:type="dxa"/>
              <w:jc w:val="center"/>
              <w:tblCellSpacing w:w="0" w:type="dxa"/>
              <w:tblInd w:w="0" w:type="dxa"/>
              <w:shd w:val="clear" w:color="auto" w:fill="auto"/>
              <w:tblLayout w:type="fixed"/>
              <w:tblCellMar>
                <w:top w:w="0" w:type="dxa"/>
                <w:left w:w="0" w:type="dxa"/>
                <w:bottom w:w="0" w:type="dxa"/>
                <w:right w:w="0" w:type="dxa"/>
              </w:tblCellMar>
            </w:tblPr>
            <w:tblGrid>
              <w:gridCol w:w="10466"/>
            </w:tblGrid>
            <w:tr>
              <w:tblPrEx>
                <w:shd w:val="clear" w:color="auto" w:fill="auto"/>
                <w:tblLayout w:type="fixed"/>
                <w:tblCellMar>
                  <w:top w:w="0" w:type="dxa"/>
                  <w:left w:w="0" w:type="dxa"/>
                  <w:bottom w:w="0" w:type="dxa"/>
                  <w:right w:w="0" w:type="dxa"/>
                </w:tblCellMar>
              </w:tblPrEx>
              <w:trPr>
                <w:tblCellSpacing w:w="0" w:type="dxa"/>
                <w:jc w:val="center"/>
              </w:trPr>
              <w:tc>
                <w:tcPr>
                  <w:tcW w:w="10466" w:type="dxa"/>
                  <w:shd w:val="clear" w:color="auto" w:fill="auto"/>
                  <w:vAlign w:val="bottom"/>
                </w:tcPr>
                <w:p>
                  <w:pPr>
                    <w:keepNext w:val="0"/>
                    <w:keepLines w:val="0"/>
                    <w:widowControl/>
                    <w:suppressLineNumbers w:val="0"/>
                    <w:jc w:val="center"/>
                    <w:rPr>
                      <w:sz w:val="18"/>
                      <w:szCs w:val="18"/>
                    </w:rPr>
                  </w:pPr>
                </w:p>
              </w:tc>
            </w:tr>
          </w:tbl>
          <w:p>
            <w:pPr>
              <w:jc w:val="center"/>
              <w:rPr>
                <w:sz w:val="18"/>
                <w:szCs w:val="18"/>
              </w:rPr>
            </w:pPr>
          </w:p>
        </w:tc>
      </w:tr>
      <w:tr>
        <w:tblPrEx>
          <w:tblLayout w:type="fixed"/>
          <w:tblCellMar>
            <w:top w:w="45" w:type="dxa"/>
            <w:left w:w="45" w:type="dxa"/>
            <w:bottom w:w="45" w:type="dxa"/>
            <w:right w:w="45" w:type="dxa"/>
          </w:tblCellMar>
        </w:tblPrEx>
        <w:trPr>
          <w:tblCellSpacing w:w="7" w:type="dxa"/>
        </w:trPr>
        <w:tc>
          <w:tcPr>
            <w:tcW w:w="10556" w:type="dxa"/>
            <w:shd w:val="clear" w:color="auto" w:fill="auto"/>
            <w:vAlign w:val="center"/>
          </w:tcPr>
          <w:p>
            <w:pPr>
              <w:keepNext w:val="0"/>
              <w:keepLines w:val="0"/>
              <w:widowControl/>
              <w:suppressLineNumbers w:val="0"/>
              <w:pBdr>
                <w:top w:val="none" w:color="auto" w:sz="0" w:space="0"/>
                <w:bottom w:val="none" w:color="auto" w:sz="0" w:space="0"/>
                <w:right w:val="none" w:color="auto" w:sz="0" w:space="0"/>
              </w:pBdr>
              <w:jc w:val="left"/>
              <w:rPr>
                <w:sz w:val="18"/>
                <w:szCs w:val="18"/>
              </w:rPr>
            </w:pPr>
          </w:p>
        </w:tc>
      </w:tr>
    </w:tbl>
    <w:p>
      <w:pPr>
        <w:keepNext w:val="0"/>
        <w:keepLines w:val="0"/>
        <w:widowControl/>
        <w:suppressLineNumbers w:val="0"/>
        <w:spacing w:before="0" w:beforeAutospacing="0" w:after="0" w:afterAutospacing="0"/>
        <w:ind w:left="0" w:right="0"/>
        <w:jc w:val="left"/>
        <w:rPr>
          <w:rFonts w:hint="eastAsia"/>
          <w:lang w:val="en-US" w:eastAsia="zh-CN"/>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楷体_GB2312">
    <w:altName w:val="楷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E36407"/>
    <w:rsid w:val="008B7C3B"/>
    <w:rsid w:val="01721F9C"/>
    <w:rsid w:val="064D7105"/>
    <w:rsid w:val="0E1A6945"/>
    <w:rsid w:val="0E883B7C"/>
    <w:rsid w:val="10602A5C"/>
    <w:rsid w:val="110330FD"/>
    <w:rsid w:val="11E36407"/>
    <w:rsid w:val="1215071A"/>
    <w:rsid w:val="143D52E2"/>
    <w:rsid w:val="16D80440"/>
    <w:rsid w:val="18AD1832"/>
    <w:rsid w:val="1D1C0A6E"/>
    <w:rsid w:val="1EAD5651"/>
    <w:rsid w:val="22287740"/>
    <w:rsid w:val="238A400A"/>
    <w:rsid w:val="2F6B7952"/>
    <w:rsid w:val="34A67D1C"/>
    <w:rsid w:val="34E06B18"/>
    <w:rsid w:val="35896C34"/>
    <w:rsid w:val="3C812ADF"/>
    <w:rsid w:val="41DC4AE4"/>
    <w:rsid w:val="465D5B98"/>
    <w:rsid w:val="541173CA"/>
    <w:rsid w:val="55697BBF"/>
    <w:rsid w:val="5688003B"/>
    <w:rsid w:val="5B9F1CE9"/>
    <w:rsid w:val="5EF04ABF"/>
    <w:rsid w:val="5F136D01"/>
    <w:rsid w:val="5F345818"/>
    <w:rsid w:val="6642475B"/>
    <w:rsid w:val="67DC04E5"/>
    <w:rsid w:val="6DCB0FF7"/>
    <w:rsid w:val="71F05A05"/>
    <w:rsid w:val="77F605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uiPriority w:val="0"/>
    <w:rPr>
      <w:sz w:val="24"/>
    </w:rPr>
  </w:style>
  <w:style w:type="character" w:styleId="5">
    <w:name w:val="FollowedHyperlink"/>
    <w:basedOn w:val="4"/>
    <w:qFormat/>
    <w:uiPriority w:val="0"/>
    <w:rPr>
      <w:rFonts w:ascii="微软雅黑" w:hAnsi="微软雅黑" w:eastAsia="微软雅黑" w:cs="微软雅黑"/>
      <w:color w:val="800080"/>
      <w:sz w:val="18"/>
      <w:szCs w:val="18"/>
      <w:u w:val="none"/>
    </w:rPr>
  </w:style>
  <w:style w:type="character" w:styleId="6">
    <w:name w:val="Hyperlink"/>
    <w:basedOn w:val="4"/>
    <w:qFormat/>
    <w:uiPriority w:val="0"/>
    <w:rPr>
      <w:rFonts w:hint="eastAsia" w:ascii="微软雅黑" w:hAnsi="微软雅黑" w:eastAsia="微软雅黑" w:cs="微软雅黑"/>
      <w:color w:val="0000FF"/>
      <w:sz w:val="18"/>
      <w:szCs w:val="18"/>
      <w:u w:val="none"/>
    </w:rPr>
  </w:style>
  <w:style w:type="paragraph" w:customStyle="1" w:styleId="8">
    <w:name w:val="p65"/>
    <w:basedOn w:val="1"/>
    <w:qFormat/>
    <w:uiPriority w:val="0"/>
    <w:pPr>
      <w:ind w:firstLine="622"/>
      <w:jc w:val="left"/>
    </w:pPr>
    <w:rPr>
      <w:rFonts w:ascii="楷体_GB2312" w:eastAsia="楷体_GB2312" w:cs="楷体_GB2312"/>
      <w:kern w:val="0"/>
      <w:sz w:val="32"/>
      <w:szCs w:val="32"/>
      <w:lang w:val="en-US" w:eastAsia="zh-CN" w:bidi="ar"/>
    </w:rPr>
  </w:style>
  <w:style w:type="paragraph" w:customStyle="1" w:styleId="9">
    <w:name w:val="p60"/>
    <w:basedOn w:val="1"/>
    <w:uiPriority w:val="0"/>
    <w:pPr>
      <w:jc w:val="both"/>
    </w:pPr>
    <w:rPr>
      <w:rFonts w:hint="eastAsia" w:ascii="宋体" w:hAnsi="宋体" w:eastAsia="宋体" w:cs="宋体"/>
      <w:kern w:val="0"/>
      <w:sz w:val="24"/>
      <w:szCs w:val="24"/>
      <w:lang w:val="en-US" w:eastAsia="zh-CN" w:bidi="ar"/>
    </w:rPr>
  </w:style>
  <w:style w:type="paragraph" w:customStyle="1" w:styleId="10">
    <w:name w:val="p1"/>
    <w:basedOn w:val="1"/>
    <w:qFormat/>
    <w:uiPriority w:val="0"/>
    <w:pPr>
      <w:jc w:val="both"/>
    </w:pPr>
    <w:rPr>
      <w:rFonts w:ascii="黑体" w:hAnsi="宋体" w:eastAsia="黑体" w:cs="黑体"/>
      <w:kern w:val="0"/>
      <w:sz w:val="32"/>
      <w:szCs w:val="32"/>
      <w:lang w:val="en-US" w:eastAsia="zh-CN" w:bidi="ar"/>
    </w:rPr>
  </w:style>
  <w:style w:type="paragraph" w:customStyle="1" w:styleId="11">
    <w:name w:val="p71"/>
    <w:basedOn w:val="1"/>
    <w:qFormat/>
    <w:uiPriority w:val="0"/>
    <w:pPr>
      <w:spacing w:before="289" w:beforeAutospacing="0"/>
      <w:ind w:firstLine="924"/>
      <w:jc w:val="center"/>
    </w:pPr>
    <w:rPr>
      <w:rFonts w:hint="eastAsia" w:ascii="宋体" w:hAnsi="宋体" w:eastAsia="宋体" w:cs="宋体"/>
      <w:kern w:val="0"/>
      <w:sz w:val="24"/>
      <w:szCs w:val="24"/>
      <w:lang w:val="en-US" w:eastAsia="zh-CN" w:bidi="ar"/>
    </w:rPr>
  </w:style>
  <w:style w:type="paragraph" w:customStyle="1" w:styleId="12">
    <w:name w:val="p49"/>
    <w:basedOn w:val="1"/>
    <w:qFormat/>
    <w:uiPriority w:val="0"/>
    <w:pPr>
      <w:ind w:firstLine="622"/>
      <w:jc w:val="left"/>
    </w:pPr>
    <w:rPr>
      <w:rFonts w:hint="default" w:ascii="Times New Roman" w:hAnsi="Times New Roman" w:cs="Times New Roman"/>
      <w:kern w:val="0"/>
      <w:sz w:val="32"/>
      <w:szCs w:val="32"/>
      <w:lang w:val="en-US" w:eastAsia="zh-CN" w:bidi="ar"/>
    </w:rPr>
  </w:style>
  <w:style w:type="paragraph" w:customStyle="1" w:styleId="13">
    <w:name w:val="p6"/>
    <w:basedOn w:val="1"/>
    <w:qFormat/>
    <w:uiPriority w:val="0"/>
    <w:pPr>
      <w:ind w:firstLine="622"/>
      <w:jc w:val="both"/>
    </w:pPr>
    <w:rPr>
      <w:rFonts w:ascii="仿宋_GB2312" w:eastAsia="仿宋_GB2312" w:cs="仿宋_GB2312"/>
      <w:kern w:val="0"/>
      <w:sz w:val="32"/>
      <w:szCs w:val="32"/>
      <w:lang w:val="en-US" w:eastAsia="zh-CN" w:bidi="ar"/>
    </w:rPr>
  </w:style>
  <w:style w:type="paragraph" w:customStyle="1" w:styleId="14">
    <w:name w:val="p79"/>
    <w:basedOn w:val="1"/>
    <w:qFormat/>
    <w:uiPriority w:val="0"/>
    <w:pPr>
      <w:ind w:firstLine="1039"/>
      <w:jc w:val="both"/>
    </w:pPr>
    <w:rPr>
      <w:rFonts w:hint="eastAsia" w:ascii="宋体" w:hAnsi="宋体" w:eastAsia="宋体" w:cs="宋体"/>
      <w:kern w:val="0"/>
      <w:sz w:val="24"/>
      <w:szCs w:val="24"/>
      <w:lang w:val="en-US" w:eastAsia="zh-CN" w:bidi="ar"/>
    </w:rPr>
  </w:style>
  <w:style w:type="paragraph" w:customStyle="1" w:styleId="15">
    <w:name w:val="p17"/>
    <w:basedOn w:val="1"/>
    <w:qFormat/>
    <w:uiPriority w:val="0"/>
    <w:pPr>
      <w:ind w:firstLine="606"/>
      <w:jc w:val="left"/>
    </w:pPr>
    <w:rPr>
      <w:rFonts w:hint="default" w:ascii="仿宋_GB2312" w:eastAsia="仿宋_GB2312" w:cs="仿宋_GB2312"/>
      <w:kern w:val="0"/>
      <w:sz w:val="32"/>
      <w:szCs w:val="32"/>
      <w:lang w:val="en-US" w:eastAsia="zh-CN" w:bidi="ar"/>
    </w:rPr>
  </w:style>
  <w:style w:type="paragraph" w:customStyle="1" w:styleId="16">
    <w:name w:val="p9"/>
    <w:basedOn w:val="1"/>
    <w:uiPriority w:val="0"/>
    <w:pPr>
      <w:ind w:firstLine="641"/>
      <w:jc w:val="both"/>
    </w:pPr>
    <w:rPr>
      <w:rFonts w:hint="default" w:ascii="仿宋_GB2312" w:eastAsia="仿宋_GB2312" w:cs="仿宋_GB2312"/>
      <w:kern w:val="0"/>
      <w:sz w:val="32"/>
      <w:szCs w:val="32"/>
      <w:lang w:val="en-US" w:eastAsia="zh-CN" w:bidi="ar"/>
    </w:rPr>
  </w:style>
  <w:style w:type="paragraph" w:customStyle="1" w:styleId="17">
    <w:name w:val="p66"/>
    <w:basedOn w:val="1"/>
    <w:uiPriority w:val="0"/>
    <w:pPr>
      <w:ind w:firstLine="640"/>
      <w:jc w:val="left"/>
    </w:pPr>
    <w:rPr>
      <w:rFonts w:hint="default" w:ascii="仿宋_GB2312" w:eastAsia="仿宋_GB2312" w:cs="仿宋_GB2312"/>
      <w:kern w:val="0"/>
      <w:sz w:val="32"/>
      <w:szCs w:val="32"/>
      <w:lang w:val="en-US" w:eastAsia="zh-CN" w:bidi="ar"/>
    </w:rPr>
  </w:style>
  <w:style w:type="paragraph" w:customStyle="1" w:styleId="18">
    <w:name w:val="p19"/>
    <w:basedOn w:val="1"/>
    <w:qFormat/>
    <w:uiPriority w:val="0"/>
    <w:pPr>
      <w:ind w:firstLine="622"/>
      <w:jc w:val="left"/>
    </w:pPr>
    <w:rPr>
      <w:rFonts w:hint="default" w:ascii="仿宋_GB2312" w:eastAsia="仿宋_GB2312" w:cs="仿宋_GB2312"/>
      <w:kern w:val="0"/>
      <w:sz w:val="32"/>
      <w:szCs w:val="32"/>
      <w:lang w:val="en-US" w:eastAsia="zh-CN" w:bidi="ar"/>
    </w:rPr>
  </w:style>
  <w:style w:type="paragraph" w:customStyle="1" w:styleId="19">
    <w:name w:val="p74"/>
    <w:basedOn w:val="1"/>
    <w:qFormat/>
    <w:uiPriority w:val="0"/>
    <w:pPr>
      <w:spacing w:before="289" w:beforeAutospacing="0"/>
      <w:ind w:firstLine="560"/>
      <w:jc w:val="center"/>
    </w:pPr>
    <w:rPr>
      <w:rFonts w:hint="default" w:ascii="仿宋_GB2312" w:eastAsia="仿宋_GB2312" w:cs="仿宋_GB2312"/>
      <w:kern w:val="0"/>
      <w:sz w:val="28"/>
      <w:szCs w:val="28"/>
      <w:lang w:val="en-US" w:eastAsia="zh-CN" w:bidi="ar"/>
    </w:rPr>
  </w:style>
  <w:style w:type="paragraph" w:customStyle="1" w:styleId="20">
    <w:name w:val="p28"/>
    <w:basedOn w:val="1"/>
    <w:qFormat/>
    <w:uiPriority w:val="0"/>
    <w:pPr>
      <w:ind w:firstLine="606"/>
      <w:jc w:val="both"/>
    </w:pPr>
    <w:rPr>
      <w:rFonts w:hint="default" w:ascii="仿宋_GB2312" w:eastAsia="仿宋_GB2312" w:cs="仿宋_GB2312"/>
      <w:kern w:val="0"/>
      <w:sz w:val="32"/>
      <w:szCs w:val="32"/>
      <w:lang w:val="en-US" w:eastAsia="zh-CN" w:bidi="ar"/>
    </w:rPr>
  </w:style>
  <w:style w:type="paragraph" w:customStyle="1" w:styleId="21">
    <w:name w:val="p18"/>
    <w:basedOn w:val="1"/>
    <w:qFormat/>
    <w:uiPriority w:val="0"/>
    <w:pPr>
      <w:ind w:firstLine="606"/>
      <w:jc w:val="left"/>
    </w:pPr>
    <w:rPr>
      <w:rFonts w:hint="eastAsia" w:ascii="黑体" w:hAnsi="宋体" w:eastAsia="黑体" w:cs="黑体"/>
      <w:kern w:val="0"/>
      <w:sz w:val="32"/>
      <w:szCs w:val="32"/>
      <w:lang w:val="en-US" w:eastAsia="zh-CN" w:bidi="ar"/>
    </w:rPr>
  </w:style>
  <w:style w:type="paragraph" w:customStyle="1" w:styleId="22">
    <w:name w:val="p30"/>
    <w:basedOn w:val="1"/>
    <w:qFormat/>
    <w:uiPriority w:val="0"/>
    <w:pPr>
      <w:ind w:firstLine="933"/>
      <w:jc w:val="left"/>
    </w:pPr>
    <w:rPr>
      <w:rFonts w:hint="default" w:ascii="仿宋_GB2312" w:eastAsia="仿宋_GB2312" w:cs="仿宋_GB2312"/>
      <w:kern w:val="0"/>
      <w:sz w:val="32"/>
      <w:szCs w:val="32"/>
      <w:lang w:val="en-US" w:eastAsia="zh-CN" w:bidi="ar"/>
    </w:rPr>
  </w:style>
  <w:style w:type="paragraph" w:customStyle="1" w:styleId="23">
    <w:name w:val="p12"/>
    <w:basedOn w:val="1"/>
    <w:uiPriority w:val="0"/>
    <w:pPr>
      <w:ind w:firstLine="622"/>
      <w:jc w:val="both"/>
    </w:pPr>
    <w:rPr>
      <w:rFonts w:hint="default" w:ascii="楷体_GB2312" w:eastAsia="楷体_GB2312" w:cs="楷体_GB2312"/>
      <w:kern w:val="0"/>
      <w:sz w:val="32"/>
      <w:szCs w:val="32"/>
      <w:lang w:val="en-US" w:eastAsia="zh-CN" w:bidi="ar"/>
    </w:rPr>
  </w:style>
  <w:style w:type="paragraph" w:customStyle="1" w:styleId="24">
    <w:name w:val="p47"/>
    <w:basedOn w:val="1"/>
    <w:qFormat/>
    <w:uiPriority w:val="0"/>
    <w:pPr>
      <w:ind w:firstLine="195"/>
      <w:jc w:val="center"/>
    </w:pPr>
    <w:rPr>
      <w:rFonts w:ascii="方正小标宋简体" w:hAnsi="方正小标宋简体" w:eastAsia="方正小标宋简体" w:cs="方正小标宋简体"/>
      <w:kern w:val="0"/>
      <w:sz w:val="44"/>
      <w:szCs w:val="44"/>
      <w:lang w:val="en-US" w:eastAsia="zh-CN" w:bidi="ar"/>
    </w:rPr>
  </w:style>
  <w:style w:type="paragraph" w:customStyle="1" w:styleId="25">
    <w:name w:val="p83"/>
    <w:basedOn w:val="1"/>
    <w:qFormat/>
    <w:uiPriority w:val="0"/>
    <w:pPr>
      <w:ind w:firstLine="641"/>
      <w:jc w:val="left"/>
    </w:pPr>
    <w:rPr>
      <w:rFonts w:hint="default" w:ascii="仿宋_GB2312" w:eastAsia="仿宋_GB2312" w:cs="仿宋_GB2312"/>
      <w:kern w:val="0"/>
      <w:sz w:val="32"/>
      <w:szCs w:val="32"/>
      <w:lang w:val="en-US" w:eastAsia="zh-CN" w:bidi="ar"/>
    </w:rPr>
  </w:style>
  <w:style w:type="paragraph" w:customStyle="1" w:styleId="26">
    <w:name w:val="p75"/>
    <w:basedOn w:val="1"/>
    <w:uiPriority w:val="0"/>
    <w:pPr>
      <w:ind w:firstLine="346"/>
      <w:jc w:val="both"/>
    </w:pPr>
    <w:rPr>
      <w:rFonts w:hint="eastAsia" w:ascii="宋体" w:hAnsi="宋体" w:eastAsia="宋体" w:cs="宋体"/>
      <w:kern w:val="0"/>
      <w:sz w:val="24"/>
      <w:szCs w:val="24"/>
      <w:lang w:val="en-US" w:eastAsia="zh-CN" w:bidi="ar"/>
    </w:rPr>
  </w:style>
  <w:style w:type="paragraph" w:customStyle="1" w:styleId="27">
    <w:name w:val="p2"/>
    <w:basedOn w:val="1"/>
    <w:qFormat/>
    <w:uiPriority w:val="0"/>
    <w:pPr>
      <w:jc w:val="both"/>
    </w:pPr>
    <w:rPr>
      <w:rFonts w:hint="default" w:ascii="仿宋_GB2312" w:eastAsia="仿宋_GB2312" w:cs="仿宋_GB2312"/>
      <w:kern w:val="0"/>
      <w:sz w:val="32"/>
      <w:szCs w:val="32"/>
      <w:lang w:val="en-US" w:eastAsia="zh-CN" w:bidi="ar"/>
    </w:rPr>
  </w:style>
  <w:style w:type="paragraph" w:customStyle="1" w:styleId="28">
    <w:name w:val="p35"/>
    <w:basedOn w:val="1"/>
    <w:qFormat/>
    <w:uiPriority w:val="0"/>
    <w:pPr>
      <w:ind w:firstLine="590"/>
      <w:jc w:val="left"/>
    </w:pPr>
    <w:rPr>
      <w:rFonts w:hint="default" w:ascii="仿宋_GB2312" w:eastAsia="仿宋_GB2312" w:cs="仿宋_GB2312"/>
      <w:kern w:val="0"/>
      <w:sz w:val="32"/>
      <w:szCs w:val="32"/>
      <w:lang w:val="en-US" w:eastAsia="zh-CN" w:bidi="ar"/>
    </w:rPr>
  </w:style>
  <w:style w:type="paragraph" w:customStyle="1" w:styleId="29">
    <w:name w:val="p10"/>
    <w:basedOn w:val="1"/>
    <w:qFormat/>
    <w:uiPriority w:val="0"/>
    <w:pPr>
      <w:jc w:val="center"/>
    </w:pPr>
    <w:rPr>
      <w:rFonts w:hint="default" w:ascii="方正小标宋简体" w:hAnsi="方正小标宋简体" w:eastAsia="方正小标宋简体" w:cs="方正小标宋简体"/>
      <w:kern w:val="0"/>
      <w:sz w:val="44"/>
      <w:szCs w:val="44"/>
      <w:lang w:val="en-US" w:eastAsia="zh-CN" w:bidi="ar"/>
    </w:rPr>
  </w:style>
  <w:style w:type="paragraph" w:customStyle="1" w:styleId="30">
    <w:name w:val="p111"/>
    <w:basedOn w:val="1"/>
    <w:qFormat/>
    <w:uiPriority w:val="0"/>
    <w:pPr>
      <w:ind w:firstLine="622"/>
      <w:jc w:val="both"/>
    </w:pPr>
    <w:rPr>
      <w:rFonts w:hint="eastAsia" w:ascii="黑体" w:hAnsi="宋体" w:eastAsia="黑体" w:cs="黑体"/>
      <w:kern w:val="0"/>
      <w:sz w:val="32"/>
      <w:szCs w:val="32"/>
      <w:lang w:val="en-US" w:eastAsia="zh-CN" w:bidi="ar"/>
    </w:rPr>
  </w:style>
  <w:style w:type="paragraph" w:customStyle="1" w:styleId="31">
    <w:name w:val="p27"/>
    <w:basedOn w:val="1"/>
    <w:qFormat/>
    <w:uiPriority w:val="0"/>
    <w:pPr>
      <w:ind w:firstLine="540"/>
      <w:jc w:val="both"/>
    </w:pPr>
    <w:rPr>
      <w:rFonts w:hint="default" w:ascii="仿宋_GB2312" w:eastAsia="仿宋_GB2312" w:cs="仿宋_GB2312"/>
      <w:kern w:val="0"/>
      <w:sz w:val="32"/>
      <w:szCs w:val="32"/>
      <w:lang w:val="en-US" w:eastAsia="zh-CN" w:bidi="ar"/>
    </w:rPr>
  </w:style>
  <w:style w:type="paragraph" w:customStyle="1" w:styleId="32">
    <w:name w:val="p29"/>
    <w:basedOn w:val="1"/>
    <w:qFormat/>
    <w:uiPriority w:val="0"/>
    <w:pPr>
      <w:ind w:firstLine="676"/>
      <w:jc w:val="left"/>
    </w:pPr>
    <w:rPr>
      <w:rFonts w:hint="default" w:ascii="仿宋_GB2312" w:eastAsia="仿宋_GB2312" w:cs="仿宋_GB2312"/>
      <w:kern w:val="0"/>
      <w:sz w:val="32"/>
      <w:szCs w:val="32"/>
      <w:lang w:val="en-US" w:eastAsia="zh-CN" w:bidi="ar"/>
    </w:rPr>
  </w:style>
  <w:style w:type="paragraph" w:customStyle="1" w:styleId="33">
    <w:name w:val="p311"/>
    <w:basedOn w:val="1"/>
    <w:uiPriority w:val="0"/>
    <w:pPr>
      <w:jc w:val="both"/>
    </w:pPr>
    <w:rPr>
      <w:rFonts w:hint="default" w:ascii="仿宋_GB2312" w:eastAsia="仿宋_GB2312" w:cs="仿宋_GB2312"/>
      <w:kern w:val="0"/>
      <w:sz w:val="28"/>
      <w:szCs w:val="28"/>
      <w:lang w:val="en-US" w:eastAsia="zh-CN" w:bidi="ar"/>
    </w:rPr>
  </w:style>
  <w:style w:type="paragraph" w:customStyle="1" w:styleId="34">
    <w:name w:val="p33"/>
    <w:basedOn w:val="1"/>
    <w:qFormat/>
    <w:uiPriority w:val="0"/>
    <w:pPr>
      <w:ind w:firstLine="606"/>
      <w:jc w:val="both"/>
    </w:pPr>
    <w:rPr>
      <w:rFonts w:hint="eastAsia" w:ascii="黑体" w:hAnsi="宋体" w:eastAsia="黑体" w:cs="黑体"/>
      <w:kern w:val="0"/>
      <w:sz w:val="32"/>
      <w:szCs w:val="32"/>
      <w:lang w:val="en-US" w:eastAsia="zh-CN" w:bidi="ar"/>
    </w:rPr>
  </w:style>
  <w:style w:type="paragraph" w:customStyle="1" w:styleId="35">
    <w:name w:val="p34"/>
    <w:basedOn w:val="1"/>
    <w:qFormat/>
    <w:uiPriority w:val="0"/>
    <w:pPr>
      <w:ind w:firstLine="590"/>
      <w:jc w:val="both"/>
    </w:pPr>
    <w:rPr>
      <w:rFonts w:hint="default" w:ascii="仿宋_GB2312" w:eastAsia="仿宋_GB2312" w:cs="仿宋_GB2312"/>
      <w:kern w:val="0"/>
      <w:sz w:val="32"/>
      <w:szCs w:val="32"/>
      <w:lang w:val="en-US" w:eastAsia="zh-CN" w:bidi="ar"/>
    </w:rPr>
  </w:style>
  <w:style w:type="paragraph" w:customStyle="1" w:styleId="36">
    <w:name w:val="p37"/>
    <w:basedOn w:val="1"/>
    <w:qFormat/>
    <w:uiPriority w:val="0"/>
    <w:pPr>
      <w:ind w:firstLine="610"/>
      <w:jc w:val="left"/>
    </w:pPr>
    <w:rPr>
      <w:rFonts w:hint="default" w:ascii="仿宋_GB2312" w:eastAsia="仿宋_GB2312" w:cs="仿宋_GB2312"/>
      <w:kern w:val="0"/>
      <w:sz w:val="32"/>
      <w:szCs w:val="32"/>
      <w:lang w:val="en-US" w:eastAsia="zh-CN" w:bidi="ar"/>
    </w:rPr>
  </w:style>
  <w:style w:type="paragraph" w:customStyle="1" w:styleId="37">
    <w:name w:val="p40"/>
    <w:basedOn w:val="1"/>
    <w:qFormat/>
    <w:uiPriority w:val="0"/>
    <w:pPr>
      <w:ind w:firstLine="179"/>
      <w:jc w:val="center"/>
    </w:pPr>
    <w:rPr>
      <w:rFonts w:hint="default" w:ascii="仿宋_GB2312" w:eastAsia="仿宋_GB2312" w:cs="仿宋_GB2312"/>
      <w:kern w:val="0"/>
      <w:sz w:val="28"/>
      <w:szCs w:val="28"/>
      <w:lang w:val="en-US" w:eastAsia="zh-CN" w:bidi="ar"/>
    </w:rPr>
  </w:style>
  <w:style w:type="paragraph" w:customStyle="1" w:styleId="38">
    <w:name w:val="p411"/>
    <w:basedOn w:val="1"/>
    <w:uiPriority w:val="0"/>
    <w:pPr>
      <w:ind w:firstLine="600"/>
      <w:jc w:val="left"/>
    </w:pPr>
    <w:rPr>
      <w:rFonts w:hint="default" w:ascii="仿宋_GB2312" w:eastAsia="仿宋_GB2312" w:cs="仿宋_GB2312"/>
      <w:kern w:val="0"/>
      <w:sz w:val="32"/>
      <w:szCs w:val="32"/>
      <w:lang w:val="en-US" w:eastAsia="zh-CN" w:bidi="ar"/>
    </w:rPr>
  </w:style>
  <w:style w:type="paragraph" w:customStyle="1" w:styleId="39">
    <w:name w:val="p42"/>
    <w:basedOn w:val="1"/>
    <w:qFormat/>
    <w:uiPriority w:val="0"/>
    <w:pPr>
      <w:ind w:firstLine="757"/>
      <w:jc w:val="left"/>
    </w:pPr>
    <w:rPr>
      <w:rFonts w:hint="default" w:ascii="仿宋_GB2312" w:eastAsia="仿宋_GB2312" w:cs="仿宋_GB2312"/>
      <w:kern w:val="0"/>
      <w:sz w:val="32"/>
      <w:szCs w:val="32"/>
      <w:lang w:val="en-US" w:eastAsia="zh-CN" w:bidi="ar"/>
    </w:rPr>
  </w:style>
  <w:style w:type="paragraph" w:customStyle="1" w:styleId="40">
    <w:name w:val="p43"/>
    <w:basedOn w:val="1"/>
    <w:uiPriority w:val="0"/>
    <w:pPr>
      <w:ind w:left="210" w:firstLine="622"/>
      <w:jc w:val="left"/>
    </w:pPr>
    <w:rPr>
      <w:rFonts w:hint="default" w:ascii="仿宋_GB2312" w:eastAsia="仿宋_GB2312" w:cs="仿宋_GB2312"/>
      <w:kern w:val="0"/>
      <w:sz w:val="32"/>
      <w:szCs w:val="32"/>
      <w:lang w:val="en-US" w:eastAsia="zh-CN" w:bidi="ar"/>
    </w:rPr>
  </w:style>
  <w:style w:type="paragraph" w:customStyle="1" w:styleId="41">
    <w:name w:val="p44"/>
    <w:basedOn w:val="1"/>
    <w:uiPriority w:val="0"/>
    <w:pPr>
      <w:ind w:firstLine="539"/>
      <w:jc w:val="both"/>
    </w:pPr>
    <w:rPr>
      <w:rFonts w:hint="default" w:ascii="仿宋_GB2312" w:eastAsia="仿宋_GB2312" w:cs="仿宋_GB2312"/>
      <w:kern w:val="0"/>
      <w:sz w:val="32"/>
      <w:szCs w:val="32"/>
      <w:lang w:val="en-US" w:eastAsia="zh-CN" w:bidi="ar"/>
    </w:rPr>
  </w:style>
  <w:style w:type="paragraph" w:customStyle="1" w:styleId="42">
    <w:name w:val="p50"/>
    <w:basedOn w:val="1"/>
    <w:qFormat/>
    <w:uiPriority w:val="0"/>
    <w:pPr>
      <w:ind w:firstLine="540"/>
      <w:jc w:val="both"/>
    </w:pPr>
    <w:rPr>
      <w:rFonts w:hint="default" w:ascii="Times New Roman" w:hAnsi="Times New Roman" w:cs="Times New Roman"/>
      <w:kern w:val="0"/>
      <w:sz w:val="32"/>
      <w:szCs w:val="32"/>
      <w:lang w:val="en-US" w:eastAsia="zh-CN" w:bidi="ar"/>
    </w:rPr>
  </w:style>
  <w:style w:type="paragraph" w:customStyle="1" w:styleId="43">
    <w:name w:val="p511"/>
    <w:basedOn w:val="1"/>
    <w:qFormat/>
    <w:uiPriority w:val="0"/>
    <w:pPr>
      <w:ind w:firstLine="622"/>
      <w:jc w:val="both"/>
    </w:pPr>
    <w:rPr>
      <w:rFonts w:hint="default" w:ascii="Times New Roman" w:hAnsi="Times New Roman" w:cs="Times New Roman"/>
      <w:kern w:val="0"/>
      <w:sz w:val="32"/>
      <w:szCs w:val="32"/>
      <w:lang w:val="en-US" w:eastAsia="zh-CN" w:bidi="ar"/>
    </w:rPr>
  </w:style>
  <w:style w:type="paragraph" w:customStyle="1" w:styleId="44">
    <w:name w:val="p52"/>
    <w:basedOn w:val="1"/>
    <w:qFormat/>
    <w:uiPriority w:val="0"/>
    <w:pPr>
      <w:spacing w:after="115" w:afterAutospacing="0"/>
      <w:ind w:left="139" w:hanging="483"/>
      <w:jc w:val="center"/>
    </w:pPr>
    <w:rPr>
      <w:rFonts w:hint="default" w:ascii="方正小标宋简体" w:hAnsi="方正小标宋简体" w:eastAsia="方正小标宋简体" w:cs="方正小标宋简体"/>
      <w:kern w:val="0"/>
      <w:sz w:val="44"/>
      <w:szCs w:val="44"/>
      <w:lang w:val="en-US" w:eastAsia="zh-CN" w:bidi="ar"/>
    </w:rPr>
  </w:style>
  <w:style w:type="paragraph" w:customStyle="1" w:styleId="45">
    <w:name w:val="p54"/>
    <w:basedOn w:val="1"/>
    <w:qFormat/>
    <w:uiPriority w:val="0"/>
    <w:pPr>
      <w:ind w:firstLine="544"/>
      <w:jc w:val="center"/>
    </w:pPr>
    <w:rPr>
      <w:rFonts w:hint="default" w:ascii="Times New Roman" w:hAnsi="Times New Roman" w:cs="Times New Roman"/>
      <w:kern w:val="0"/>
      <w:sz w:val="28"/>
      <w:szCs w:val="28"/>
      <w:lang w:val="en-US" w:eastAsia="zh-CN" w:bidi="ar"/>
    </w:rPr>
  </w:style>
  <w:style w:type="paragraph" w:customStyle="1" w:styleId="46">
    <w:name w:val="p55"/>
    <w:basedOn w:val="1"/>
    <w:uiPriority w:val="0"/>
    <w:pPr>
      <w:ind w:firstLine="462"/>
      <w:jc w:val="center"/>
    </w:pPr>
    <w:rPr>
      <w:rFonts w:hint="default" w:ascii="Times New Roman" w:hAnsi="Times New Roman" w:cs="Times New Roman"/>
      <w:kern w:val="0"/>
      <w:sz w:val="24"/>
      <w:szCs w:val="24"/>
      <w:lang w:val="en-US" w:eastAsia="zh-CN" w:bidi="ar"/>
    </w:rPr>
  </w:style>
  <w:style w:type="paragraph" w:customStyle="1" w:styleId="47">
    <w:name w:val="p56"/>
    <w:basedOn w:val="1"/>
    <w:uiPriority w:val="0"/>
    <w:pPr>
      <w:ind w:firstLine="462"/>
      <w:jc w:val="both"/>
    </w:pPr>
    <w:rPr>
      <w:rFonts w:hint="eastAsia" w:ascii="宋体" w:hAnsi="宋体" w:eastAsia="宋体" w:cs="宋体"/>
      <w:kern w:val="0"/>
      <w:sz w:val="24"/>
      <w:szCs w:val="24"/>
      <w:lang w:val="en-US" w:eastAsia="zh-CN" w:bidi="ar"/>
    </w:rPr>
  </w:style>
  <w:style w:type="paragraph" w:customStyle="1" w:styleId="48">
    <w:name w:val="p57"/>
    <w:basedOn w:val="1"/>
    <w:qFormat/>
    <w:uiPriority w:val="0"/>
    <w:pPr>
      <w:jc w:val="center"/>
    </w:pPr>
    <w:rPr>
      <w:rFonts w:hint="default" w:ascii="Times New Roman" w:hAnsi="Times New Roman" w:cs="Times New Roman"/>
      <w:kern w:val="0"/>
      <w:sz w:val="24"/>
      <w:szCs w:val="24"/>
      <w:lang w:val="en-US" w:eastAsia="zh-CN" w:bidi="ar"/>
    </w:rPr>
  </w:style>
  <w:style w:type="paragraph" w:customStyle="1" w:styleId="49">
    <w:name w:val="p58"/>
    <w:basedOn w:val="1"/>
    <w:qFormat/>
    <w:uiPriority w:val="0"/>
    <w:pPr>
      <w:spacing w:before="289" w:beforeAutospacing="0"/>
      <w:jc w:val="left"/>
    </w:pPr>
    <w:rPr>
      <w:rFonts w:hint="eastAsia" w:ascii="宋体" w:hAnsi="宋体" w:eastAsia="宋体" w:cs="宋体"/>
      <w:kern w:val="0"/>
      <w:sz w:val="24"/>
      <w:szCs w:val="24"/>
      <w:lang w:val="en-US" w:eastAsia="zh-CN" w:bidi="ar"/>
    </w:rPr>
  </w:style>
  <w:style w:type="paragraph" w:customStyle="1" w:styleId="50">
    <w:name w:val="p59"/>
    <w:basedOn w:val="1"/>
    <w:qFormat/>
    <w:uiPriority w:val="0"/>
    <w:pPr>
      <w:jc w:val="left"/>
    </w:pPr>
    <w:rPr>
      <w:rFonts w:hint="eastAsia" w:ascii="宋体" w:hAnsi="宋体" w:eastAsia="宋体" w:cs="宋体"/>
      <w:kern w:val="0"/>
      <w:sz w:val="24"/>
      <w:szCs w:val="24"/>
      <w:lang w:val="en-US" w:eastAsia="zh-CN" w:bidi="ar"/>
    </w:rPr>
  </w:style>
  <w:style w:type="paragraph" w:customStyle="1" w:styleId="51">
    <w:name w:val="p611"/>
    <w:basedOn w:val="1"/>
    <w:qFormat/>
    <w:uiPriority w:val="0"/>
    <w:pPr>
      <w:ind w:firstLine="480"/>
      <w:jc w:val="both"/>
    </w:pPr>
    <w:rPr>
      <w:rFonts w:hint="eastAsia" w:ascii="宋体" w:hAnsi="宋体" w:eastAsia="宋体" w:cs="宋体"/>
      <w:kern w:val="0"/>
      <w:sz w:val="24"/>
      <w:szCs w:val="24"/>
      <w:lang w:val="en-US" w:eastAsia="zh-CN" w:bidi="ar"/>
    </w:rPr>
  </w:style>
  <w:style w:type="paragraph" w:customStyle="1" w:styleId="52">
    <w:name w:val="p62"/>
    <w:basedOn w:val="1"/>
    <w:qFormat/>
    <w:uiPriority w:val="0"/>
    <w:pPr>
      <w:jc w:val="left"/>
    </w:pPr>
    <w:rPr>
      <w:rFonts w:hint="eastAsia" w:ascii="宋体" w:hAnsi="宋体" w:eastAsia="宋体" w:cs="宋体"/>
      <w:kern w:val="0"/>
      <w:sz w:val="22"/>
      <w:szCs w:val="22"/>
      <w:lang w:val="en-US" w:eastAsia="zh-CN" w:bidi="ar"/>
    </w:rPr>
  </w:style>
  <w:style w:type="paragraph" w:customStyle="1" w:styleId="53">
    <w:name w:val="p64"/>
    <w:basedOn w:val="1"/>
    <w:qFormat/>
    <w:uiPriority w:val="0"/>
    <w:pPr>
      <w:ind w:firstLine="622"/>
      <w:jc w:val="left"/>
    </w:pPr>
    <w:rPr>
      <w:rFonts w:hint="eastAsia" w:ascii="黑体" w:hAnsi="宋体" w:eastAsia="黑体" w:cs="黑体"/>
      <w:kern w:val="0"/>
      <w:sz w:val="32"/>
      <w:szCs w:val="32"/>
      <w:lang w:val="en-US" w:eastAsia="zh-CN" w:bidi="ar"/>
    </w:rPr>
  </w:style>
  <w:style w:type="paragraph" w:customStyle="1" w:styleId="54">
    <w:name w:val="p67"/>
    <w:basedOn w:val="1"/>
    <w:uiPriority w:val="0"/>
    <w:pPr>
      <w:ind w:firstLine="640"/>
      <w:jc w:val="both"/>
    </w:pPr>
    <w:rPr>
      <w:rFonts w:hint="default" w:ascii="仿宋_GB2312" w:eastAsia="仿宋_GB2312" w:cs="仿宋_GB2312"/>
      <w:kern w:val="0"/>
      <w:sz w:val="32"/>
      <w:szCs w:val="32"/>
      <w:lang w:val="en-US" w:eastAsia="zh-CN" w:bidi="ar"/>
    </w:rPr>
  </w:style>
  <w:style w:type="paragraph" w:customStyle="1" w:styleId="55">
    <w:name w:val="p69"/>
    <w:basedOn w:val="1"/>
    <w:uiPriority w:val="0"/>
    <w:pPr>
      <w:ind w:firstLine="480"/>
      <w:jc w:val="center"/>
    </w:pPr>
    <w:rPr>
      <w:rFonts w:hint="eastAsia" w:ascii="宋体" w:hAnsi="宋体" w:eastAsia="宋体" w:cs="宋体"/>
      <w:kern w:val="0"/>
      <w:sz w:val="24"/>
      <w:szCs w:val="24"/>
      <w:lang w:val="en-US" w:eastAsia="zh-CN" w:bidi="ar"/>
    </w:rPr>
  </w:style>
  <w:style w:type="paragraph" w:customStyle="1" w:styleId="56">
    <w:name w:val="p70"/>
    <w:basedOn w:val="1"/>
    <w:qFormat/>
    <w:uiPriority w:val="0"/>
    <w:pPr>
      <w:ind w:firstLine="480"/>
      <w:jc w:val="left"/>
    </w:pPr>
    <w:rPr>
      <w:rFonts w:hint="eastAsia" w:ascii="宋体" w:hAnsi="宋体" w:eastAsia="宋体" w:cs="宋体"/>
      <w:kern w:val="0"/>
      <w:sz w:val="24"/>
      <w:szCs w:val="24"/>
      <w:lang w:val="en-US" w:eastAsia="zh-CN" w:bidi="ar"/>
    </w:rPr>
  </w:style>
  <w:style w:type="paragraph" w:customStyle="1" w:styleId="57">
    <w:name w:val="p721"/>
    <w:basedOn w:val="1"/>
    <w:qFormat/>
    <w:uiPriority w:val="0"/>
    <w:pPr>
      <w:ind w:firstLine="231"/>
      <w:jc w:val="center"/>
    </w:pPr>
    <w:rPr>
      <w:rFonts w:hint="eastAsia" w:ascii="宋体" w:hAnsi="宋体" w:eastAsia="宋体" w:cs="宋体"/>
      <w:kern w:val="0"/>
      <w:sz w:val="24"/>
      <w:szCs w:val="24"/>
      <w:lang w:val="en-US" w:eastAsia="zh-CN" w:bidi="ar"/>
    </w:rPr>
  </w:style>
  <w:style w:type="paragraph" w:customStyle="1" w:styleId="58">
    <w:name w:val="p73"/>
    <w:basedOn w:val="1"/>
    <w:uiPriority w:val="0"/>
    <w:pPr>
      <w:ind w:firstLine="480"/>
      <w:jc w:val="left"/>
    </w:pPr>
    <w:rPr>
      <w:rFonts w:hint="default" w:ascii="仿宋_GB2312" w:eastAsia="仿宋_GB2312" w:cs="仿宋_GB2312"/>
      <w:kern w:val="0"/>
      <w:sz w:val="32"/>
      <w:szCs w:val="32"/>
      <w:lang w:val="en-US" w:eastAsia="zh-CN" w:bidi="ar"/>
    </w:rPr>
  </w:style>
  <w:style w:type="paragraph" w:customStyle="1" w:styleId="59">
    <w:name w:val="p76"/>
    <w:basedOn w:val="1"/>
    <w:uiPriority w:val="0"/>
    <w:pPr>
      <w:ind w:firstLine="346"/>
      <w:jc w:val="center"/>
    </w:pPr>
    <w:rPr>
      <w:rFonts w:hint="eastAsia" w:ascii="宋体" w:hAnsi="宋体" w:eastAsia="宋体" w:cs="宋体"/>
      <w:kern w:val="0"/>
      <w:sz w:val="24"/>
      <w:szCs w:val="24"/>
      <w:lang w:val="en-US" w:eastAsia="zh-CN" w:bidi="ar"/>
    </w:rPr>
  </w:style>
  <w:style w:type="paragraph" w:customStyle="1" w:styleId="60">
    <w:name w:val="p77"/>
    <w:basedOn w:val="1"/>
    <w:uiPriority w:val="0"/>
    <w:pPr>
      <w:spacing w:before="289" w:beforeAutospacing="0"/>
      <w:ind w:firstLine="192"/>
      <w:jc w:val="center"/>
    </w:pPr>
    <w:rPr>
      <w:rFonts w:hint="eastAsia" w:ascii="宋体" w:hAnsi="宋体" w:eastAsia="宋体" w:cs="宋体"/>
      <w:kern w:val="0"/>
      <w:sz w:val="24"/>
      <w:szCs w:val="24"/>
      <w:lang w:val="en-US" w:eastAsia="zh-CN" w:bidi="ar"/>
    </w:rPr>
  </w:style>
  <w:style w:type="paragraph" w:customStyle="1" w:styleId="61">
    <w:name w:val="p78"/>
    <w:basedOn w:val="1"/>
    <w:uiPriority w:val="0"/>
    <w:pPr>
      <w:ind w:firstLine="164"/>
      <w:jc w:val="center"/>
    </w:pPr>
    <w:rPr>
      <w:rFonts w:hint="eastAsia" w:ascii="宋体" w:hAnsi="宋体" w:eastAsia="宋体" w:cs="宋体"/>
      <w:kern w:val="0"/>
      <w:sz w:val="24"/>
      <w:szCs w:val="24"/>
      <w:lang w:val="en-US" w:eastAsia="zh-CN" w:bidi="ar"/>
    </w:rPr>
  </w:style>
  <w:style w:type="paragraph" w:customStyle="1" w:styleId="62">
    <w:name w:val="p80"/>
    <w:basedOn w:val="1"/>
    <w:uiPriority w:val="0"/>
    <w:pPr>
      <w:ind w:firstLine="1848"/>
      <w:jc w:val="both"/>
    </w:pPr>
    <w:rPr>
      <w:rFonts w:hint="eastAsia" w:ascii="宋体" w:hAnsi="宋体" w:eastAsia="宋体" w:cs="宋体"/>
      <w:kern w:val="0"/>
      <w:sz w:val="24"/>
      <w:szCs w:val="24"/>
      <w:lang w:val="en-US" w:eastAsia="zh-CN" w:bidi="ar"/>
    </w:rPr>
  </w:style>
  <w:style w:type="paragraph" w:customStyle="1" w:styleId="63">
    <w:name w:val="p811"/>
    <w:basedOn w:val="1"/>
    <w:uiPriority w:val="0"/>
    <w:pPr>
      <w:spacing w:before="289" w:beforeAutospacing="0"/>
      <w:ind w:firstLine="640"/>
      <w:jc w:val="left"/>
    </w:pPr>
    <w:rPr>
      <w:rFonts w:hint="default" w:ascii="仿宋_GB2312" w:eastAsia="仿宋_GB2312" w:cs="仿宋_GB2312"/>
      <w:kern w:val="0"/>
      <w:sz w:val="32"/>
      <w:szCs w:val="32"/>
      <w:lang w:val="en-US" w:eastAsia="zh-CN" w:bidi="ar"/>
    </w:rPr>
  </w:style>
  <w:style w:type="paragraph" w:customStyle="1" w:styleId="64">
    <w:name w:val="p82"/>
    <w:basedOn w:val="1"/>
    <w:uiPriority w:val="0"/>
    <w:pPr>
      <w:ind w:firstLine="641"/>
      <w:jc w:val="left"/>
    </w:pPr>
    <w:rPr>
      <w:rFonts w:hint="default" w:ascii="楷体_GB2312" w:eastAsia="楷体_GB2312" w:cs="楷体_GB2312"/>
      <w:kern w:val="0"/>
      <w:sz w:val="32"/>
      <w:szCs w:val="32"/>
      <w:lang w:val="en-US" w:eastAsia="zh-CN" w:bidi="ar"/>
    </w:rPr>
  </w:style>
  <w:style w:type="paragraph" w:customStyle="1" w:styleId="65">
    <w:name w:val="p84"/>
    <w:basedOn w:val="1"/>
    <w:uiPriority w:val="0"/>
    <w:pPr>
      <w:jc w:val="left"/>
    </w:pPr>
    <w:rPr>
      <w:rFonts w:hint="eastAsia" w:ascii="黑体" w:hAnsi="宋体" w:eastAsia="黑体" w:cs="黑体"/>
      <w:kern w:val="0"/>
      <w:sz w:val="32"/>
      <w:szCs w:val="32"/>
      <w:lang w:val="en-US" w:eastAsia="zh-CN" w:bidi="ar"/>
    </w:rPr>
  </w:style>
  <w:style w:type="paragraph" w:customStyle="1" w:styleId="66">
    <w:name w:val="p86"/>
    <w:basedOn w:val="1"/>
    <w:uiPriority w:val="0"/>
    <w:pPr>
      <w:ind w:firstLine="640"/>
      <w:jc w:val="both"/>
    </w:pPr>
    <w:rPr>
      <w:rFonts w:hint="default" w:ascii="楷体_GB2312" w:eastAsia="楷体_GB2312" w:cs="楷体_GB2312"/>
      <w:kern w:val="0"/>
      <w:sz w:val="32"/>
      <w:szCs w:val="32"/>
      <w:lang w:val="en-US" w:eastAsia="zh-CN" w:bidi="ar"/>
    </w:rPr>
  </w:style>
  <w:style w:type="paragraph" w:customStyle="1" w:styleId="67">
    <w:name w:val="p87"/>
    <w:basedOn w:val="1"/>
    <w:uiPriority w:val="0"/>
    <w:pPr>
      <w:ind w:firstLine="640"/>
      <w:jc w:val="both"/>
    </w:pPr>
    <w:rPr>
      <w:rFonts w:hint="default" w:ascii="Times New Roman" w:hAnsi="Times New Roman" w:cs="Times New Roman"/>
      <w:kern w:val="0"/>
      <w:sz w:val="28"/>
      <w:szCs w:val="28"/>
      <w:lang w:val="en-US" w:eastAsia="zh-CN" w:bidi="ar"/>
    </w:rPr>
  </w:style>
  <w:style w:type="paragraph" w:customStyle="1" w:styleId="68">
    <w:name w:val="p89"/>
    <w:basedOn w:val="1"/>
    <w:uiPriority w:val="0"/>
    <w:pPr>
      <w:ind w:firstLine="640"/>
      <w:jc w:val="both"/>
    </w:pPr>
    <w:rPr>
      <w:rFonts w:hint="default" w:ascii="Times New Roman" w:hAnsi="Times New Roman" w:cs="Times New Roman"/>
      <w:kern w:val="0"/>
      <w:sz w:val="32"/>
      <w:szCs w:val="32"/>
      <w:lang w:val="en-US" w:eastAsia="zh-CN" w:bidi="ar"/>
    </w:rPr>
  </w:style>
  <w:style w:type="paragraph" w:customStyle="1" w:styleId="69">
    <w:name w:val="p92"/>
    <w:basedOn w:val="1"/>
    <w:uiPriority w:val="0"/>
    <w:pPr>
      <w:ind w:firstLine="641"/>
      <w:jc w:val="both"/>
    </w:pPr>
    <w:rPr>
      <w:rFonts w:hint="eastAsia" w:ascii="黑体" w:hAnsi="宋体" w:eastAsia="黑体" w:cs="黑体"/>
      <w:kern w:val="0"/>
      <w:sz w:val="32"/>
      <w:szCs w:val="32"/>
      <w:lang w:val="en-US" w:eastAsia="zh-CN" w:bidi="ar"/>
    </w:rPr>
  </w:style>
  <w:style w:type="character" w:customStyle="1" w:styleId="70">
    <w:name w:val="s21"/>
    <w:basedOn w:val="4"/>
    <w:uiPriority w:val="0"/>
    <w:rPr>
      <w:color w:val="000000"/>
    </w:rPr>
  </w:style>
  <w:style w:type="character" w:customStyle="1" w:styleId="71">
    <w:name w:val="s61"/>
    <w:basedOn w:val="4"/>
    <w:uiPriority w:val="0"/>
    <w:rPr>
      <w:rFonts w:hint="default" w:ascii="Times New Roman" w:hAnsi="Times New Roman" w:cs="Times New Roman"/>
    </w:rPr>
  </w:style>
  <w:style w:type="character" w:customStyle="1" w:styleId="72">
    <w:name w:val="s71"/>
    <w:basedOn w:val="4"/>
    <w:uiPriority w:val="0"/>
  </w:style>
  <w:style w:type="character" w:customStyle="1" w:styleId="73">
    <w:name w:val="s81"/>
    <w:basedOn w:val="4"/>
    <w:uiPriority w:val="0"/>
    <w:rPr>
      <w:rFonts w:hint="default" w:ascii="仿宋_GB2312" w:eastAsia="仿宋_GB2312" w:cs="仿宋_GB2312"/>
    </w:rPr>
  </w:style>
  <w:style w:type="character" w:customStyle="1" w:styleId="74">
    <w:name w:val="s91"/>
    <w:basedOn w:val="4"/>
    <w:uiPriority w:val="0"/>
    <w:rPr>
      <w:rFonts w:hint="default" w:ascii="仿宋_GB2312" w:eastAsia="仿宋_GB2312" w:cs="仿宋_GB2312"/>
      <w:color w:val="000000"/>
    </w:rPr>
  </w:style>
  <w:style w:type="character" w:customStyle="1" w:styleId="75">
    <w:name w:val="s101"/>
    <w:basedOn w:val="4"/>
    <w:uiPriority w:val="0"/>
    <w:rPr>
      <w:b/>
    </w:rPr>
  </w:style>
  <w:style w:type="character" w:customStyle="1" w:styleId="76">
    <w:name w:val="s31"/>
    <w:basedOn w:val="4"/>
    <w:uiPriority w:val="0"/>
    <w:rPr>
      <w:sz w:val="27"/>
      <w:szCs w:val="27"/>
      <w:vertAlign w:val="superscript"/>
    </w:rPr>
  </w:style>
  <w:style w:type="character" w:customStyle="1" w:styleId="77">
    <w:name w:val="s41"/>
    <w:basedOn w:val="4"/>
    <w:uiPriority w:val="0"/>
    <w:rPr>
      <w:sz w:val="28"/>
      <w:szCs w:val="28"/>
    </w:rPr>
  </w:style>
  <w:style w:type="character" w:customStyle="1" w:styleId="78">
    <w:name w:val="s112"/>
    <w:basedOn w:val="4"/>
    <w:uiPriority w:val="0"/>
    <w:rPr>
      <w:sz w:val="20"/>
      <w:szCs w:val="20"/>
    </w:rPr>
  </w:style>
  <w:style w:type="paragraph" w:customStyle="1" w:styleId="79">
    <w:name w:val="p7"/>
    <w:basedOn w:val="1"/>
    <w:uiPriority w:val="0"/>
    <w:pPr>
      <w:ind w:firstLine="1866"/>
      <w:jc w:val="both"/>
    </w:pPr>
    <w:rPr>
      <w:rFonts w:hint="default" w:ascii="仿宋_GB2312" w:eastAsia="仿宋_GB2312" w:cs="仿宋_GB2312"/>
      <w:kern w:val="0"/>
      <w:sz w:val="32"/>
      <w:szCs w:val="32"/>
      <w:lang w:val="en-US" w:eastAsia="zh-CN" w:bidi="ar"/>
    </w:rPr>
  </w:style>
  <w:style w:type="paragraph" w:customStyle="1" w:styleId="80">
    <w:name w:val="p23"/>
    <w:basedOn w:val="1"/>
    <w:qFormat/>
    <w:uiPriority w:val="0"/>
    <w:pPr>
      <w:ind w:firstLine="382"/>
      <w:jc w:val="left"/>
    </w:pPr>
    <w:rPr>
      <w:rFonts w:ascii="Tahoma" w:hAnsi="Tahoma" w:eastAsia="Tahoma" w:cs="Tahoma"/>
      <w:kern w:val="0"/>
      <w:sz w:val="20"/>
      <w:szCs w:val="20"/>
      <w:lang w:val="en-US" w:eastAsia="zh-CN" w:bidi="ar"/>
    </w:rPr>
  </w:style>
  <w:style w:type="paragraph" w:customStyle="1" w:styleId="81">
    <w:name w:val="p5"/>
    <w:basedOn w:val="1"/>
    <w:uiPriority w:val="0"/>
    <w:pPr>
      <w:ind w:left="839" w:hanging="839"/>
      <w:jc w:val="center"/>
    </w:pPr>
    <w:rPr>
      <w:rFonts w:ascii="方正小标宋简体" w:hAnsi="方正小标宋简体" w:eastAsia="方正小标宋简体" w:cs="方正小标宋简体"/>
      <w:kern w:val="0"/>
      <w:sz w:val="44"/>
      <w:szCs w:val="44"/>
      <w:lang w:val="en-US" w:eastAsia="zh-CN" w:bidi="ar"/>
    </w:rPr>
  </w:style>
  <w:style w:type="paragraph" w:customStyle="1" w:styleId="82">
    <w:name w:val="p8"/>
    <w:basedOn w:val="1"/>
    <w:uiPriority w:val="0"/>
    <w:pPr>
      <w:ind w:firstLine="1555"/>
      <w:jc w:val="both"/>
    </w:pPr>
    <w:rPr>
      <w:rFonts w:hint="default" w:ascii="仿宋_GB2312" w:eastAsia="仿宋_GB2312" w:cs="仿宋_GB2312"/>
      <w:kern w:val="0"/>
      <w:sz w:val="32"/>
      <w:szCs w:val="32"/>
      <w:lang w:val="en-US" w:eastAsia="zh-CN" w:bidi="ar"/>
    </w:rPr>
  </w:style>
  <w:style w:type="paragraph" w:customStyle="1" w:styleId="83">
    <w:name w:val="p3"/>
    <w:basedOn w:val="1"/>
    <w:uiPriority w:val="0"/>
    <w:pPr>
      <w:jc w:val="center"/>
    </w:pPr>
    <w:rPr>
      <w:rFonts w:hint="default" w:ascii="方正小标宋简体" w:hAnsi="方正小标宋简体" w:eastAsia="方正小标宋简体" w:cs="方正小标宋简体"/>
      <w:kern w:val="0"/>
      <w:sz w:val="104"/>
      <w:szCs w:val="104"/>
      <w:lang w:val="en-US" w:eastAsia="zh-CN" w:bidi="ar"/>
    </w:rPr>
  </w:style>
  <w:style w:type="paragraph" w:customStyle="1" w:styleId="84">
    <w:name w:val="p4"/>
    <w:basedOn w:val="1"/>
    <w:uiPriority w:val="0"/>
    <w:pPr>
      <w:jc w:val="center"/>
    </w:pPr>
    <w:rPr>
      <w:rFonts w:hint="default" w:ascii="仿宋_GB2312" w:eastAsia="仿宋_GB2312" w:cs="仿宋_GB2312"/>
      <w:kern w:val="0"/>
      <w:sz w:val="32"/>
      <w:szCs w:val="32"/>
      <w:lang w:val="en-US" w:eastAsia="zh-CN" w:bidi="ar"/>
    </w:rPr>
  </w:style>
  <w:style w:type="paragraph" w:customStyle="1" w:styleId="85">
    <w:name w:val="p20"/>
    <w:basedOn w:val="1"/>
    <w:qFormat/>
    <w:uiPriority w:val="0"/>
    <w:pPr>
      <w:ind w:left="595"/>
      <w:jc w:val="left"/>
    </w:pPr>
    <w:rPr>
      <w:rFonts w:hint="default" w:ascii="仿宋_GB2312" w:eastAsia="仿宋_GB2312" w:cs="仿宋_GB2312"/>
      <w:kern w:val="0"/>
      <w:sz w:val="28"/>
      <w:szCs w:val="28"/>
      <w:lang w:val="en-US" w:eastAsia="zh-CN" w:bidi="ar"/>
    </w:rPr>
  </w:style>
  <w:style w:type="paragraph" w:customStyle="1" w:styleId="86">
    <w:name w:val="p15"/>
    <w:basedOn w:val="1"/>
    <w:uiPriority w:val="0"/>
    <w:pPr>
      <w:ind w:firstLine="862"/>
      <w:jc w:val="center"/>
    </w:pPr>
    <w:rPr>
      <w:rFonts w:hint="default" w:ascii="方正小标宋简体" w:hAnsi="方正小标宋简体" w:eastAsia="方正小标宋简体" w:cs="方正小标宋简体"/>
      <w:kern w:val="0"/>
      <w:sz w:val="44"/>
      <w:szCs w:val="44"/>
      <w:lang w:val="en-US" w:eastAsia="zh-CN" w:bidi="ar"/>
    </w:rPr>
  </w:style>
  <w:style w:type="paragraph" w:customStyle="1" w:styleId="87">
    <w:name w:val="p211"/>
    <w:basedOn w:val="1"/>
    <w:qFormat/>
    <w:uiPriority w:val="0"/>
    <w:pPr>
      <w:ind w:firstLine="542"/>
      <w:jc w:val="left"/>
    </w:pPr>
    <w:rPr>
      <w:rFonts w:hint="default" w:ascii="仿宋_GB2312" w:eastAsia="仿宋_GB2312" w:cs="仿宋_GB2312"/>
      <w:kern w:val="0"/>
      <w:sz w:val="28"/>
      <w:szCs w:val="28"/>
      <w:lang w:val="en-US" w:eastAsia="zh-CN" w:bidi="ar"/>
    </w:rPr>
  </w:style>
  <w:style w:type="paragraph" w:customStyle="1" w:styleId="88">
    <w:name w:val="p22"/>
    <w:basedOn w:val="1"/>
    <w:qFormat/>
    <w:uiPriority w:val="0"/>
    <w:pPr>
      <w:spacing w:before="240" w:beforeAutospacing="0" w:after="240" w:afterAutospacing="0"/>
      <w:ind w:right="624" w:firstLine="542"/>
      <w:jc w:val="left"/>
    </w:pPr>
    <w:rPr>
      <w:rFonts w:hint="default" w:ascii="仿宋_GB2312" w:eastAsia="仿宋_GB2312" w:cs="仿宋_GB2312"/>
      <w:kern w:val="0"/>
      <w:sz w:val="28"/>
      <w:szCs w:val="28"/>
      <w:lang w:val="en-US" w:eastAsia="zh-CN" w:bidi="ar"/>
    </w:rPr>
  </w:style>
  <w:style w:type="paragraph" w:customStyle="1" w:styleId="89">
    <w:name w:val="p24"/>
    <w:basedOn w:val="1"/>
    <w:qFormat/>
    <w:uiPriority w:val="0"/>
    <w:pPr>
      <w:ind w:firstLine="480"/>
      <w:jc w:val="both"/>
    </w:pPr>
    <w:rPr>
      <w:rFonts w:hint="default" w:ascii="Tahoma" w:hAnsi="Tahoma" w:eastAsia="Tahoma" w:cs="Tahoma"/>
      <w:kern w:val="0"/>
      <w:sz w:val="20"/>
      <w:szCs w:val="20"/>
      <w:lang w:val="en-US" w:eastAsia="zh-CN" w:bidi="ar"/>
    </w:rPr>
  </w:style>
  <w:style w:type="paragraph" w:customStyle="1" w:styleId="90">
    <w:name w:val="p25"/>
    <w:basedOn w:val="1"/>
    <w:qFormat/>
    <w:uiPriority w:val="0"/>
    <w:pPr>
      <w:spacing w:before="240" w:beforeAutospacing="0"/>
      <w:ind w:firstLine="542"/>
      <w:jc w:val="left"/>
    </w:pPr>
    <w:rPr>
      <w:rFonts w:hint="default" w:ascii="仿宋_GB2312" w:eastAsia="仿宋_GB2312" w:cs="仿宋_GB2312"/>
      <w:kern w:val="0"/>
      <w:sz w:val="28"/>
      <w:szCs w:val="28"/>
      <w:lang w:val="en-US" w:eastAsia="zh-CN" w:bidi="ar"/>
    </w:rPr>
  </w:style>
  <w:style w:type="paragraph" w:customStyle="1" w:styleId="91">
    <w:name w:val="p26"/>
    <w:basedOn w:val="1"/>
    <w:uiPriority w:val="0"/>
    <w:pPr>
      <w:ind w:left="201" w:firstLine="606"/>
      <w:jc w:val="left"/>
    </w:pPr>
    <w:rPr>
      <w:rFonts w:hint="default" w:ascii="仿宋_GB2312" w:eastAsia="仿宋_GB2312" w:cs="仿宋_GB2312"/>
      <w:kern w:val="0"/>
      <w:sz w:val="32"/>
      <w:szCs w:val="32"/>
      <w:lang w:val="en-US" w:eastAsia="zh-CN" w:bidi="ar"/>
    </w:rPr>
  </w:style>
  <w:style w:type="paragraph" w:customStyle="1" w:styleId="92">
    <w:name w:val="p711"/>
    <w:basedOn w:val="1"/>
    <w:qFormat/>
    <w:uiPriority w:val="0"/>
    <w:pPr>
      <w:spacing w:before="289" w:beforeAutospacing="0"/>
      <w:ind w:firstLine="924"/>
      <w:jc w:val="center"/>
    </w:pPr>
    <w:rPr>
      <w:rFonts w:hint="eastAsia" w:ascii="宋体" w:hAnsi="宋体" w:eastAsia="宋体" w:cs="宋体"/>
      <w:kern w:val="0"/>
      <w:sz w:val="24"/>
      <w:szCs w:val="24"/>
      <w:lang w:val="en-US" w:eastAsia="zh-CN" w:bidi="ar"/>
    </w:rPr>
  </w:style>
  <w:style w:type="paragraph" w:customStyle="1" w:styleId="93">
    <w:name w:val="p72"/>
    <w:basedOn w:val="1"/>
    <w:uiPriority w:val="0"/>
    <w:pPr>
      <w:ind w:firstLine="231"/>
      <w:jc w:val="center"/>
    </w:pPr>
    <w:rPr>
      <w:rFonts w:hint="eastAsia" w:ascii="宋体" w:hAnsi="宋体" w:eastAsia="宋体" w:cs="宋体"/>
      <w:kern w:val="0"/>
      <w:sz w:val="24"/>
      <w:szCs w:val="24"/>
      <w:lang w:val="en-US" w:eastAsia="zh-CN" w:bidi="ar"/>
    </w:rPr>
  </w:style>
  <w:style w:type="paragraph" w:customStyle="1" w:styleId="94">
    <w:name w:val="_Style 93"/>
    <w:basedOn w:val="1"/>
    <w:next w:val="1"/>
    <w:uiPriority w:val="0"/>
    <w:pPr>
      <w:pBdr>
        <w:bottom w:val="single" w:color="auto" w:sz="6" w:space="1"/>
      </w:pBdr>
      <w:jc w:val="center"/>
    </w:pPr>
    <w:rPr>
      <w:rFonts w:ascii="Arial" w:eastAsia="宋体"/>
      <w:vanish/>
      <w:sz w:val="16"/>
    </w:rPr>
  </w:style>
  <w:style w:type="paragraph" w:customStyle="1" w:styleId="95">
    <w:name w:val="_Style 94"/>
    <w:basedOn w:val="1"/>
    <w:next w:val="1"/>
    <w:qFormat/>
    <w:uiPriority w:val="0"/>
    <w:pPr>
      <w:pBdr>
        <w:top w:val="single" w:color="auto" w:sz="6" w:space="1"/>
      </w:pBdr>
      <w:jc w:val="center"/>
    </w:pPr>
    <w:rPr>
      <w:rFonts w:ascii="Arial" w:eastAsia="宋体"/>
      <w:vanish/>
      <w:sz w:val="16"/>
    </w:rPr>
  </w:style>
  <w:style w:type="character" w:customStyle="1" w:styleId="96">
    <w:name w:val="s51"/>
    <w:basedOn w:val="4"/>
    <w:qFormat/>
    <w:uiPriority w:val="0"/>
    <w:rPr>
      <w:rFonts w:hint="default" w:ascii="仿宋_GB2312" w:eastAsia="仿宋_GB2312" w:cs="仿宋_GB2312"/>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2017-03-28T05:22:00Z</dcterms:created>
  <dc:creator>WuKeping</dc:creator>
  <cp:lastModifiedBy>lenovo</cp:lastModifiedBy>
  <dcterms:modified xsi:type="dcterms:W3CDTF">2017-06-08T06:22:11Z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