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W w:w="8306" w:type="dxa"/>
        <w:jc w:val="center"/>
        <w:tblCellSpacing w:w="0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06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306" w:type="dxa"/>
            <w:shd w:val="clear" w:color="auto" w:fill="auto"/>
            <w:vAlign w:val="center"/>
          </w:tcPr>
          <w:p>
            <w:pPr>
              <w:rPr>
                <w:vanish/>
                <w:sz w:val="24"/>
                <w:szCs w:val="24"/>
              </w:rPr>
            </w:pPr>
          </w:p>
          <w:p>
            <w:pPr>
              <w:rPr>
                <w:vanish/>
                <w:sz w:val="24"/>
                <w:szCs w:val="24"/>
              </w:rPr>
            </w:pPr>
          </w:p>
          <w:tbl>
            <w:tblPr>
              <w:tblStyle w:val="9"/>
              <w:tblW w:w="8306" w:type="dxa"/>
              <w:tblCellSpacing w:w="0" w:type="dxa"/>
              <w:tblInd w:w="0" w:type="dxa"/>
              <w:shd w:val="clear" w:color="auto" w:fill="auto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8306"/>
            </w:tblGrid>
            <w:tr>
              <w:tblPrEx>
                <w:shd w:val="clear" w:color="auto" w:fill="auto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blCellSpacing w:w="0" w:type="dxa"/>
              </w:trPr>
              <w:tc>
                <w:tcPr>
                  <w:tcW w:w="8306" w:type="dxa"/>
                  <w:shd w:val="clear" w:color="auto" w:fill="auto"/>
                  <w:vAlign w:val="center"/>
                </w:tcPr>
                <w:p>
                  <w:pPr>
                    <w:jc w:val="left"/>
                    <w:rPr>
                      <w:rFonts w:hint="eastAsia" w:ascii="宋体" w:hAnsi="宋体" w:eastAsia="宋体" w:cs="宋体"/>
                      <w:sz w:val="24"/>
                      <w:szCs w:val="24"/>
                    </w:rPr>
                  </w:pPr>
                </w:p>
              </w:tc>
            </w:tr>
          </w:tbl>
          <w:p>
            <w:pPr>
              <w:spacing w:line="432" w:lineRule="auto"/>
              <w:jc w:val="left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8306" w:type="dxa"/>
            <w:shd w:val="clear" w:color="auto" w:fill="auto"/>
            <w:vAlign w:val="center"/>
          </w:tcPr>
          <w:tbl>
            <w:tblPr>
              <w:tblStyle w:val="9"/>
              <w:tblW w:w="8306" w:type="dxa"/>
              <w:tblCellSpacing w:w="0" w:type="dxa"/>
              <w:tblInd w:w="0" w:type="dxa"/>
              <w:shd w:val="clear" w:color="auto" w:fill="FFFFFF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8306"/>
            </w:tblGrid>
            <w:tr>
              <w:tblPrEx>
                <w:shd w:val="clear" w:color="auto" w:fill="FFFFFF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140" w:hRule="atLeast"/>
                <w:tblCellSpacing w:w="0" w:type="dxa"/>
              </w:trPr>
              <w:tc>
                <w:tcPr>
                  <w:tcW w:w="8306" w:type="dxa"/>
                  <w:shd w:val="clear" w:color="auto" w:fill="FFFFFF"/>
                  <w:vAlign w:val="top"/>
                </w:tcPr>
                <w:tbl>
                  <w:tblPr>
                    <w:tblStyle w:val="9"/>
                    <w:tblW w:w="8306" w:type="dxa"/>
                    <w:jc w:val="center"/>
                    <w:tblCellSpacing w:w="0" w:type="dxa"/>
                    <w:tblInd w:w="0" w:type="dxa"/>
                    <w:shd w:val="clear" w:color="auto" w:fill="auto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</w:tblPr>
                  <w:tblGrid>
                    <w:gridCol w:w="8306"/>
                  </w:tblGrid>
                  <w:tr>
                    <w:tblPrEx>
                      <w:shd w:val="clear" w:color="auto" w:fill="auto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</w:tblPrEx>
                    <w:trPr>
                      <w:tblCellSpacing w:w="0" w:type="dxa"/>
                      <w:jc w:val="center"/>
                    </w:trPr>
                    <w:tc>
                      <w:tcPr>
                        <w:tcW w:w="8306" w:type="dxa"/>
                        <w:shd w:val="clear" w:color="auto" w:fill="auto"/>
                        <w:vAlign w:val="center"/>
                      </w:tcPr>
                      <w:p>
                        <w:pPr>
                          <w:pStyle w:val="3"/>
                          <w:keepNext w:val="0"/>
                          <w:keepLines w:val="0"/>
                          <w:widowControl/>
                          <w:suppressLineNumbers w:val="0"/>
                          <w:spacing w:after="210" w:afterAutospacing="0" w:line="27" w:lineRule="atLeast"/>
                          <w:jc w:val="both"/>
                          <w:rPr>
                            <w:rFonts w:hint="default" w:ascii="Arial" w:hAnsi="Arial" w:eastAsia="宋体" w:cs="Arial"/>
                            <w:sz w:val="24"/>
                            <w:szCs w:val="24"/>
                          </w:rPr>
                        </w:pPr>
                        <w:r>
                          <w:rPr>
                            <w:rFonts w:hint="default" w:ascii="Arial" w:hAnsi="Arial" w:eastAsia="宋体" w:cs="Arial"/>
                            <w:sz w:val="24"/>
                            <w:szCs w:val="24"/>
                          </w:rPr>
                          <w:t>　　</w:t>
                        </w:r>
                      </w:p>
                      <w:p>
                        <w:pPr>
                          <w:pStyle w:val="3"/>
                          <w:keepNext w:val="0"/>
                          <w:keepLines w:val="0"/>
                          <w:widowControl/>
                          <w:suppressLineNumbers w:val="0"/>
                          <w:spacing w:after="210" w:afterAutospacing="0" w:line="27" w:lineRule="atLeast"/>
                          <w:jc w:val="both"/>
                          <w:rPr>
                            <w:rFonts w:hint="default" w:ascii="Arial" w:hAnsi="Arial" w:cs="Arial"/>
                            <w:sz w:val="24"/>
                            <w:szCs w:val="24"/>
                          </w:rPr>
                        </w:pPr>
                        <w:r>
                          <w:rPr>
                            <w:rFonts w:hint="default" w:ascii="Arial" w:hAnsi="Arial" w:eastAsia="宋体" w:cs="Arial"/>
                            <w:sz w:val="24"/>
                            <w:szCs w:val="24"/>
                          </w:rPr>
                          <w:t>附件</w:t>
                        </w:r>
                      </w:p>
                      <w:p>
                        <w:pPr>
                          <w:pStyle w:val="3"/>
                          <w:keepNext w:val="0"/>
                          <w:keepLines w:val="0"/>
                          <w:widowControl/>
                          <w:suppressLineNumbers w:val="0"/>
                          <w:spacing w:after="210" w:afterAutospacing="0" w:line="27" w:lineRule="atLeast"/>
                          <w:jc w:val="both"/>
                          <w:rPr>
                            <w:rFonts w:hint="default" w:ascii="Arial" w:hAnsi="Arial" w:cs="Arial"/>
                            <w:sz w:val="24"/>
                            <w:szCs w:val="24"/>
                          </w:rPr>
                        </w:pPr>
                        <w:bookmarkStart w:id="0" w:name="_GoBack"/>
                        <w:r>
                          <w:rPr>
                            <w:rFonts w:hint="default" w:ascii="Arial" w:hAnsi="Arial" w:eastAsia="宋体" w:cs="Arial"/>
                            <w:sz w:val="24"/>
                            <w:szCs w:val="24"/>
                          </w:rPr>
                          <w:fldChar w:fldCharType="begin"/>
                        </w:r>
                        <w:r>
                          <w:rPr>
                            <w:rFonts w:hint="default" w:ascii="Arial" w:hAnsi="Arial" w:eastAsia="宋体" w:cs="Arial"/>
                            <w:sz w:val="24"/>
                            <w:szCs w:val="24"/>
                          </w:rPr>
                          <w:instrText xml:space="preserve">INCLUDEPICTURE \d "http://www.mof.gov.cn/zhengwuxinxi/caizhengxinwen/201705/./W020170502296747519203.png" \* MERGEFORMATINET </w:instrText>
                        </w:r>
                        <w:r>
                          <w:rPr>
                            <w:rFonts w:hint="default" w:ascii="Arial" w:hAnsi="Arial" w:eastAsia="宋体" w:cs="Arial"/>
                            <w:sz w:val="24"/>
                            <w:szCs w:val="24"/>
                          </w:rPr>
                          <w:fldChar w:fldCharType="separate"/>
                        </w:r>
                        <w:r>
                          <w:rPr>
                            <w:rFonts w:hint="default" w:ascii="Arial" w:hAnsi="Arial" w:eastAsia="宋体" w:cs="Arial"/>
                            <w:sz w:val="24"/>
                            <w:szCs w:val="24"/>
                          </w:rPr>
                          <w:drawing>
                            <wp:inline distT="0" distB="0" distL="114300" distR="114300">
                              <wp:extent cx="6553200" cy="4857750"/>
                              <wp:effectExtent l="0" t="0" r="0" b="0"/>
                              <wp:docPr id="1" name="图片 2" descr="IMG_256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" name="图片 2" descr="IMG_256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4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6553200" cy="485775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w="9525"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  <w:r>
                          <w:rPr>
                            <w:rFonts w:hint="default" w:ascii="Arial" w:hAnsi="Arial" w:eastAsia="宋体" w:cs="Arial"/>
                            <w:sz w:val="24"/>
                            <w:szCs w:val="24"/>
                          </w:rPr>
                          <w:fldChar w:fldCharType="end"/>
                        </w:r>
                        <w:bookmarkEnd w:id="0"/>
                      </w:p>
                      <w:p>
                        <w:pPr>
                          <w:pStyle w:val="3"/>
                          <w:keepNext w:val="0"/>
                          <w:keepLines w:val="0"/>
                          <w:widowControl/>
                          <w:suppressLineNumbers w:val="0"/>
                          <w:spacing w:after="210" w:afterAutospacing="0" w:line="27" w:lineRule="atLeast"/>
                          <w:jc w:val="both"/>
                          <w:rPr>
                            <w:rFonts w:hint="default" w:ascii="Arial" w:hAnsi="Arial" w:cs="Arial"/>
                            <w:sz w:val="24"/>
                            <w:szCs w:val="24"/>
                          </w:rPr>
                        </w:pPr>
                        <w:r>
                          <w:rPr>
                            <w:rFonts w:hint="default" w:ascii="Arial" w:hAnsi="Arial" w:eastAsia="宋体" w:cs="Arial"/>
                            <w:sz w:val="24"/>
                            <w:szCs w:val="24"/>
                          </w:rPr>
                          <w:t xml:space="preserve">　　填写说明： </w:t>
                        </w:r>
                      </w:p>
                      <w:p>
                        <w:pPr>
                          <w:pStyle w:val="3"/>
                          <w:keepNext w:val="0"/>
                          <w:keepLines w:val="0"/>
                          <w:widowControl/>
                          <w:suppressLineNumbers w:val="0"/>
                          <w:spacing w:after="210" w:afterAutospacing="0" w:line="27" w:lineRule="atLeast"/>
                          <w:jc w:val="both"/>
                          <w:rPr>
                            <w:rFonts w:hint="default" w:ascii="Arial" w:hAnsi="Arial" w:cs="Arial"/>
                            <w:sz w:val="24"/>
                            <w:szCs w:val="24"/>
                          </w:rPr>
                        </w:pPr>
                        <w:r>
                          <w:rPr>
                            <w:rFonts w:hint="default" w:ascii="Arial" w:hAnsi="Arial" w:eastAsia="宋体" w:cs="Arial"/>
                            <w:sz w:val="24"/>
                            <w:szCs w:val="24"/>
                          </w:rPr>
                          <w:t xml:space="preserve">　　1.已出台方案的2017年新增城市数。 </w:t>
                        </w:r>
                        <w:r>
                          <w:rPr>
                            <w:rFonts w:hint="default" w:ascii="Arial" w:hAnsi="Arial" w:eastAsia="宋体" w:cs="Arial"/>
                            <w:sz w:val="24"/>
                            <w:szCs w:val="24"/>
                          </w:rPr>
                          <w:br w:type="textWrapping"/>
                        </w:r>
                        <w:r>
                          <w:rPr>
                            <w:rFonts w:hint="default" w:ascii="Arial" w:hAnsi="Arial" w:eastAsia="宋体" w:cs="Arial"/>
                            <w:sz w:val="24"/>
                            <w:szCs w:val="24"/>
                          </w:rPr>
                          <w:t xml:space="preserve">　　2.全面推开公立医院综合改革、所有公立医院全部取消药品加成（中药饮片除外）的2017年新增城市数。 </w:t>
                        </w:r>
                        <w:r>
                          <w:rPr>
                            <w:rFonts w:hint="default" w:ascii="Arial" w:hAnsi="Arial" w:eastAsia="宋体" w:cs="Arial"/>
                            <w:sz w:val="24"/>
                            <w:szCs w:val="24"/>
                          </w:rPr>
                          <w:br w:type="textWrapping"/>
                        </w:r>
                        <w:r>
                          <w:rPr>
                            <w:rFonts w:hint="default" w:ascii="Arial" w:hAnsi="Arial" w:eastAsia="宋体" w:cs="Arial"/>
                            <w:sz w:val="24"/>
                            <w:szCs w:val="24"/>
                          </w:rPr>
                          <w:t xml:space="preserve">　　3.2017年1月至填报日期上月底，公立医院医疗费用同比平均增长幅度。 </w:t>
                        </w:r>
                        <w:r>
                          <w:rPr>
                            <w:rFonts w:hint="default" w:ascii="Arial" w:hAnsi="Arial" w:eastAsia="宋体" w:cs="Arial"/>
                            <w:sz w:val="24"/>
                            <w:szCs w:val="24"/>
                          </w:rPr>
                          <w:br w:type="textWrapping"/>
                        </w:r>
                        <w:r>
                          <w:rPr>
                            <w:rFonts w:hint="default" w:ascii="Arial" w:hAnsi="Arial" w:eastAsia="宋体" w:cs="Arial"/>
                            <w:sz w:val="24"/>
                            <w:szCs w:val="24"/>
                          </w:rPr>
                          <w:t xml:space="preserve">　　4.2017年1月至填报日期上月底，前4批试点城市公立医院药占比（不含中药饮片）。 </w:t>
                        </w:r>
                        <w:r>
                          <w:rPr>
                            <w:rFonts w:hint="default" w:ascii="Arial" w:hAnsi="Arial" w:eastAsia="宋体" w:cs="Arial"/>
                            <w:sz w:val="24"/>
                            <w:szCs w:val="24"/>
                          </w:rPr>
                          <w:br w:type="textWrapping"/>
                        </w:r>
                        <w:r>
                          <w:rPr>
                            <w:rFonts w:hint="default" w:ascii="Arial" w:hAnsi="Arial" w:eastAsia="宋体" w:cs="Arial"/>
                            <w:sz w:val="24"/>
                            <w:szCs w:val="24"/>
                          </w:rPr>
                          <w:t xml:space="preserve">　　5.2017年1月至填报日期上月底，前4批试点城市公立医院百元医疗收入（不含药品收入）中消耗的卫生材料费用。 </w:t>
                        </w:r>
                        <w:r>
                          <w:rPr>
                            <w:rFonts w:hint="default" w:ascii="Arial" w:hAnsi="Arial" w:eastAsia="宋体" w:cs="Arial"/>
                            <w:sz w:val="24"/>
                            <w:szCs w:val="24"/>
                          </w:rPr>
                          <w:br w:type="textWrapping"/>
                        </w:r>
                        <w:r>
                          <w:rPr>
                            <w:rFonts w:hint="default" w:ascii="Arial" w:hAnsi="Arial" w:eastAsia="宋体" w:cs="Arial"/>
                            <w:sz w:val="24"/>
                            <w:szCs w:val="24"/>
                          </w:rPr>
                          <w:t xml:space="preserve">　　6.实行按病种收付费的病种不少于100个的前4批试点城市数。 </w:t>
                        </w:r>
                        <w:r>
                          <w:rPr>
                            <w:rFonts w:hint="default" w:ascii="Arial" w:hAnsi="Arial" w:eastAsia="宋体" w:cs="Arial"/>
                            <w:sz w:val="24"/>
                            <w:szCs w:val="24"/>
                          </w:rPr>
                          <w:br w:type="textWrapping"/>
                        </w:r>
                        <w:r>
                          <w:rPr>
                            <w:rFonts w:hint="default" w:ascii="Arial" w:hAnsi="Arial" w:eastAsia="宋体" w:cs="Arial"/>
                            <w:sz w:val="24"/>
                            <w:szCs w:val="24"/>
                          </w:rPr>
                          <w:t xml:space="preserve">　　7.2017年1月至填报日期上月底，县级公立医院医疗服务收入（不含药品、耗材、检查、化验收入）占业务收入的比例。 </w:t>
                        </w:r>
                        <w:r>
                          <w:rPr>
                            <w:rFonts w:hint="default" w:ascii="Arial" w:hAnsi="Arial" w:eastAsia="宋体" w:cs="Arial"/>
                            <w:sz w:val="24"/>
                            <w:szCs w:val="24"/>
                          </w:rPr>
                          <w:br w:type="textWrapping"/>
                        </w:r>
                        <w:r>
                          <w:rPr>
                            <w:rFonts w:hint="default" w:ascii="Arial" w:hAnsi="Arial" w:eastAsia="宋体" w:cs="Arial"/>
                            <w:sz w:val="24"/>
                            <w:szCs w:val="24"/>
                          </w:rPr>
                          <w:t xml:space="preserve">　　8.此表由省级统一填报，于每月15日前报送上月进展。 </w:t>
                        </w:r>
                      </w:p>
                    </w:tc>
                  </w:tr>
                </w:tbl>
                <w:p>
                  <w:pPr>
                    <w:jc w:val="center"/>
                    <w:rPr>
                      <w:rFonts w:hint="eastAsia" w:ascii="宋体" w:hAnsi="宋体" w:eastAsia="宋体" w:cs="宋体"/>
                      <w:sz w:val="18"/>
                      <w:szCs w:val="18"/>
                    </w:rPr>
                  </w:pPr>
                </w:p>
              </w:tc>
            </w:tr>
          </w:tbl>
          <w:p>
            <w:pPr>
              <w:spacing w:line="432" w:lineRule="auto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E705D9"/>
    <w:rsid w:val="01507D34"/>
    <w:rsid w:val="021D3C05"/>
    <w:rsid w:val="025901E7"/>
    <w:rsid w:val="032323FA"/>
    <w:rsid w:val="06863B44"/>
    <w:rsid w:val="09FD62EE"/>
    <w:rsid w:val="0BE705D9"/>
    <w:rsid w:val="0FA44AC2"/>
    <w:rsid w:val="111F09A5"/>
    <w:rsid w:val="11B36C9A"/>
    <w:rsid w:val="120963A4"/>
    <w:rsid w:val="123F07CE"/>
    <w:rsid w:val="12C909E1"/>
    <w:rsid w:val="14A20267"/>
    <w:rsid w:val="14B02E00"/>
    <w:rsid w:val="183E0A52"/>
    <w:rsid w:val="18956BD8"/>
    <w:rsid w:val="1A0E0CCD"/>
    <w:rsid w:val="1DB033C2"/>
    <w:rsid w:val="1DBE3B9D"/>
    <w:rsid w:val="1DF715B8"/>
    <w:rsid w:val="1E9E304B"/>
    <w:rsid w:val="21B84562"/>
    <w:rsid w:val="21D022FD"/>
    <w:rsid w:val="240B1533"/>
    <w:rsid w:val="261F1CB5"/>
    <w:rsid w:val="286036CB"/>
    <w:rsid w:val="28D82090"/>
    <w:rsid w:val="2A700EAD"/>
    <w:rsid w:val="2BC517DF"/>
    <w:rsid w:val="2EE51199"/>
    <w:rsid w:val="30797214"/>
    <w:rsid w:val="324F58C9"/>
    <w:rsid w:val="32D95A79"/>
    <w:rsid w:val="32F62E2B"/>
    <w:rsid w:val="35F2150E"/>
    <w:rsid w:val="364C0923"/>
    <w:rsid w:val="37466823"/>
    <w:rsid w:val="38BE0728"/>
    <w:rsid w:val="3B0372DD"/>
    <w:rsid w:val="3B044D5F"/>
    <w:rsid w:val="41841E0A"/>
    <w:rsid w:val="41B71360"/>
    <w:rsid w:val="41D73E13"/>
    <w:rsid w:val="43B31366"/>
    <w:rsid w:val="43EF4482"/>
    <w:rsid w:val="448E5285"/>
    <w:rsid w:val="462B5FAB"/>
    <w:rsid w:val="48505CB1"/>
    <w:rsid w:val="4A8039C7"/>
    <w:rsid w:val="4C210EF5"/>
    <w:rsid w:val="4DFB61FC"/>
    <w:rsid w:val="4E02140A"/>
    <w:rsid w:val="538E6B22"/>
    <w:rsid w:val="5411167A"/>
    <w:rsid w:val="586814E0"/>
    <w:rsid w:val="587A7F35"/>
    <w:rsid w:val="59AE6794"/>
    <w:rsid w:val="5A995D31"/>
    <w:rsid w:val="5B5773E8"/>
    <w:rsid w:val="5E165C67"/>
    <w:rsid w:val="608060E1"/>
    <w:rsid w:val="62A42563"/>
    <w:rsid w:val="63375355"/>
    <w:rsid w:val="694775E1"/>
    <w:rsid w:val="70AA6167"/>
    <w:rsid w:val="71F9130C"/>
    <w:rsid w:val="7359474B"/>
    <w:rsid w:val="74A95372"/>
    <w:rsid w:val="75A5650E"/>
    <w:rsid w:val="79BC1EC7"/>
    <w:rsid w:val="7E936BB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qFormat/>
    <w:uiPriority w:val="0"/>
    <w:rPr>
      <w:color w:val="000000"/>
      <w:sz w:val="18"/>
      <w:szCs w:val="18"/>
      <w:u w:val="none"/>
    </w:rPr>
  </w:style>
  <w:style w:type="character" w:styleId="7">
    <w:name w:val="Emphasis"/>
    <w:basedOn w:val="4"/>
    <w:qFormat/>
    <w:uiPriority w:val="0"/>
    <w:rPr>
      <w:i/>
    </w:rPr>
  </w:style>
  <w:style w:type="character" w:styleId="8">
    <w:name w:val="Hyperlink"/>
    <w:basedOn w:val="4"/>
    <w:qFormat/>
    <w:uiPriority w:val="0"/>
    <w:rPr>
      <w:color w:val="0000FF"/>
      <w:u w:val="single"/>
    </w:rPr>
  </w:style>
  <w:style w:type="paragraph" w:customStyle="1" w:styleId="10">
    <w:name w:val="hr_1"/>
    <w:basedOn w:val="1"/>
    <w:qFormat/>
    <w:uiPriority w:val="0"/>
    <w:pPr>
      <w:jc w:val="center"/>
    </w:pPr>
    <w:rPr>
      <w:color w:val="99C2E2"/>
      <w:kern w:val="0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2016-04-19T01:15:00Z</dcterms:created>
  <dc:creator>Administrator</dc:creator>
  <cp:lastModifiedBy>lenovo</cp:lastModifiedBy>
  <dcterms:modified xsi:type="dcterms:W3CDTF">2017-05-03T06:21:01Z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