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rPr>
      </w:pPr>
      <w:bookmarkStart w:id="0" w:name="_GoBack"/>
      <w:bookmarkEnd w:id="0"/>
      <w:r>
        <w:rPr>
          <w:rFonts w:ascii="黑体" w:hAnsi="黑体" w:eastAsia="黑体"/>
          <w:sz w:val="32"/>
          <w:szCs w:val="32"/>
        </w:rPr>
        <w:t>附件</w:t>
      </w:r>
    </w:p>
    <w:p>
      <w:pPr>
        <w:spacing w:line="560" w:lineRule="exact"/>
        <w:rPr>
          <w:rFonts w:hint="eastAsia" w:ascii="仿宋_GB2312" w:hAnsi="宋体" w:eastAsia="仿宋_GB2312"/>
          <w:sz w:val="32"/>
          <w:szCs w:val="32"/>
        </w:rPr>
      </w:pPr>
    </w:p>
    <w:p>
      <w:pPr>
        <w:spacing w:line="560" w:lineRule="exact"/>
        <w:jc w:val="center"/>
        <w:rPr>
          <w:rFonts w:hint="eastAsia" w:ascii="方正小标宋简体" w:hAnsi="宋体" w:eastAsia="方正小标宋简体"/>
          <w:sz w:val="44"/>
          <w:szCs w:val="32"/>
        </w:rPr>
      </w:pPr>
      <w:r>
        <w:rPr>
          <w:rFonts w:hint="eastAsia" w:ascii="方正小标宋简体" w:hAnsi="宋体" w:eastAsia="方正小标宋简体"/>
          <w:sz w:val="44"/>
          <w:szCs w:val="32"/>
        </w:rPr>
        <w:t>北京市医疗器械生产监督管理规定</w:t>
      </w:r>
    </w:p>
    <w:p>
      <w:pPr>
        <w:spacing w:line="560" w:lineRule="exact"/>
        <w:jc w:val="center"/>
        <w:rPr>
          <w:rFonts w:hint="eastAsia" w:ascii="方正小标宋简体" w:hAnsi="宋体" w:eastAsia="方正小标宋简体"/>
          <w:sz w:val="44"/>
          <w:szCs w:val="32"/>
        </w:rPr>
      </w:pPr>
      <w:r>
        <w:rPr>
          <w:rFonts w:hint="eastAsia" w:ascii="方正小标宋简体" w:hAnsi="宋体" w:eastAsia="方正小标宋简体"/>
          <w:sz w:val="44"/>
          <w:szCs w:val="32"/>
        </w:rPr>
        <w:t>（征求意见稿）</w:t>
      </w:r>
    </w:p>
    <w:p>
      <w:pPr>
        <w:spacing w:line="560" w:lineRule="exact"/>
        <w:rPr>
          <w:rFonts w:ascii="仿宋_GB2312" w:hAnsi="宋体" w:eastAsia="仿宋_GB2312"/>
          <w:sz w:val="32"/>
          <w:szCs w:val="32"/>
        </w:rPr>
      </w:pPr>
    </w:p>
    <w:p>
      <w:pPr>
        <w:spacing w:before="289" w:beforeLines="50" w:after="289" w:afterLines="50" w:line="560" w:lineRule="exact"/>
        <w:jc w:val="center"/>
        <w:rPr>
          <w:rFonts w:hint="eastAsia" w:ascii="黑体" w:hAnsi="黑体" w:eastAsia="黑体"/>
          <w:sz w:val="32"/>
          <w:szCs w:val="32"/>
        </w:rPr>
      </w:pPr>
      <w:r>
        <w:rPr>
          <w:rFonts w:hint="eastAsia" w:ascii="黑体" w:hAnsi="黑体" w:eastAsia="黑体"/>
          <w:sz w:val="32"/>
          <w:szCs w:val="32"/>
        </w:rPr>
        <w:t>第一章  总  则</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第一条</w:t>
      </w:r>
      <w:r>
        <w:rPr>
          <w:rFonts w:hint="eastAsia" w:ascii="仿宋_GB2312" w:hAnsi="宋体" w:eastAsia="仿宋_GB2312"/>
          <w:sz w:val="32"/>
          <w:szCs w:val="32"/>
        </w:rPr>
        <w:t xml:space="preserve">  为加强我市医疗器械生产监督管理工作，提高企业“产品质量安全第一责任者”的意识，强化医疗器械生产企业诚信自律，规范北京市各级医疗器械监督管理部门和检查人员的监督管理行为，促进我市医疗器械生产企业和各级医疗器械监督管理部门风险防控能力的不断提高，我局根据《中华人民共和国行政许可法》、《医疗器械监督管理条例》（国务院令第650号）、《医疗器械生产监督管理办法》（国家食品药品监督管理总局令第7号）等相关法律、法规、规章及规范性文件，结合北京市医疗器械生产监管实际情况，制定本规定。</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第二条</w:t>
      </w:r>
      <w:r>
        <w:rPr>
          <w:rFonts w:hint="eastAsia" w:ascii="仿宋_GB2312" w:hAnsi="宋体" w:eastAsia="仿宋_GB2312"/>
          <w:sz w:val="32"/>
          <w:szCs w:val="32"/>
        </w:rPr>
        <w:t xml:space="preserve">  本规定所称的监督管理是指北京市各级食品药品监督管理部门依据有关法律、法规、规章、规范性文件及标准，对本市的医疗器械生产企业所实施的监督检查及相关管理工作。</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第三条</w:t>
      </w:r>
      <w:r>
        <w:rPr>
          <w:rFonts w:hint="eastAsia" w:ascii="仿宋_GB2312" w:hAnsi="宋体" w:eastAsia="仿宋_GB2312"/>
          <w:sz w:val="32"/>
          <w:szCs w:val="32"/>
        </w:rPr>
        <w:t xml:space="preserve">  北京市各级食品药品监督管理部门在开展各类医疗器械生产监督管理活动时应遵守本规定。</w:t>
      </w:r>
    </w:p>
    <w:p>
      <w:pPr>
        <w:spacing w:line="560" w:lineRule="exact"/>
        <w:rPr>
          <w:rFonts w:ascii="仿宋_GB2312" w:hAnsi="宋体" w:eastAsia="仿宋_GB2312"/>
          <w:sz w:val="32"/>
          <w:szCs w:val="32"/>
        </w:rPr>
      </w:pPr>
    </w:p>
    <w:p>
      <w:pPr>
        <w:spacing w:before="289" w:beforeLines="50" w:after="289" w:afterLines="50" w:line="560" w:lineRule="exact"/>
        <w:jc w:val="center"/>
        <w:rPr>
          <w:rFonts w:hint="eastAsia" w:ascii="黑体" w:hAnsi="黑体" w:eastAsia="黑体"/>
          <w:sz w:val="32"/>
          <w:szCs w:val="32"/>
        </w:rPr>
      </w:pPr>
      <w:r>
        <w:rPr>
          <w:rFonts w:hint="eastAsia" w:ascii="黑体" w:hAnsi="黑体" w:eastAsia="黑体"/>
          <w:sz w:val="32"/>
          <w:szCs w:val="32"/>
        </w:rPr>
        <w:t>第二章  职责划分</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第四条</w:t>
      </w:r>
      <w:r>
        <w:rPr>
          <w:rFonts w:hint="eastAsia" w:ascii="仿宋_GB2312" w:hAnsi="宋体" w:eastAsia="仿宋_GB2312"/>
          <w:sz w:val="32"/>
          <w:szCs w:val="32"/>
        </w:rPr>
        <w:t xml:space="preserve">  北京市医疗器械生产企业监督管理工作按照医疗器械生产企业住所所在地辖区划分监管职责的原则，实行属地管理。</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第五条 </w:t>
      </w:r>
      <w:r>
        <w:rPr>
          <w:rFonts w:hint="eastAsia" w:ascii="仿宋_GB2312" w:hAnsi="宋体" w:eastAsia="仿宋_GB2312"/>
          <w:sz w:val="32"/>
          <w:szCs w:val="32"/>
        </w:rPr>
        <w:t xml:space="preserve"> 北京市食品药品监督管理局（以下简称市局）负责全市医疗器械生产监督管理全面工作：负责组织制定和实施全市医疗器械生产企业年度监督检查计划，部署全市范围内的医疗器械生产企业飞行检查及其他监督检查工作；负责在全市监督实施医疗器械生产质量管理规范，组织开展全市医疗器械生产企业分类分级管理和风险管理等工作；负责《医疗器械生产许可证》（以下简称《许可证》）注销和第二、三类医疗器械委托生产备案，以及指导全市开展《许可证》审批、第一类医疗器械生产备案、出口医疗器械生产企业备案、医疗器械出口销售证明等相关工作；负责对各区食品药品监督管理局（以下简称区局）、市局各直属分局（以下简称直属分局）的医疗器械生产监督管理工作进行指导、培训和考核；必要时，可直接组织对医疗器械生产企业进行现场监督检查。</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第六条</w:t>
      </w:r>
      <w:r>
        <w:rPr>
          <w:rFonts w:hint="eastAsia" w:ascii="仿宋_GB2312" w:hAnsi="宋体" w:eastAsia="仿宋_GB2312"/>
          <w:sz w:val="32"/>
          <w:szCs w:val="32"/>
        </w:rPr>
        <w:t xml:space="preserve">  各区局、直属分局负责在本辖区内实施医疗器械生产企业的监督管理工作：负责制定和实施本辖区内医疗器械生产企业年度监督计划；负责落实医疗器械生产质量管理规范、医疗器械生产企业分类分级管理和风险管理等工作；负责本辖区内第一类医疗器械生产、委托备案、出口医疗器械生产企业备案、医疗器械出口销售证明材料的接收、审查工作，以及《许可证》核发、变更、延续、补发的受理、审核、复审、审定和送达工作；负责按照《医疗器械生产质量管理规范》（以下简称《规范》）等文件要求开展本辖区企业生产许可涉及的现场检查具体工作（生产地址非文字性变更涉及的现场检查除外）。</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第七条</w:t>
      </w:r>
      <w:r>
        <w:rPr>
          <w:rFonts w:hint="eastAsia" w:ascii="仿宋_GB2312" w:hAnsi="宋体" w:eastAsia="仿宋_GB2312"/>
          <w:sz w:val="32"/>
          <w:szCs w:val="32"/>
        </w:rPr>
        <w:t xml:space="preserve">  北京市医疗器械技术审评中心（以下简称市器审中心）负责全市医疗器械生产质量管理规范检查员的管理；负责组织实施医疗器械飞行检查；负责按照《规范》要求组织开展《许可证》生产地址非文字性变更涉及的现场检查具体工作。</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第八条</w:t>
      </w:r>
      <w:r>
        <w:rPr>
          <w:rFonts w:hint="eastAsia" w:ascii="仿宋_GB2312" w:hAnsi="宋体" w:eastAsia="仿宋_GB2312"/>
          <w:sz w:val="32"/>
          <w:szCs w:val="32"/>
        </w:rPr>
        <w:t xml:space="preserve">  北京市各级医疗器械监督检查人员应当熟悉和了解国家有关法律、法规、规章和规定以及相关的专业知识，遵守检查纪律，认真履行监督检查职责，公正文明执法，自觉接受监督，对检查中知晓的企业试验数据和技术秘密负有保密义务。</w:t>
      </w:r>
    </w:p>
    <w:p>
      <w:pPr>
        <w:spacing w:line="560" w:lineRule="exact"/>
        <w:rPr>
          <w:rFonts w:ascii="仿宋_GB2312" w:hAnsi="宋体" w:eastAsia="仿宋_GB2312"/>
          <w:sz w:val="32"/>
          <w:szCs w:val="32"/>
        </w:rPr>
      </w:pPr>
    </w:p>
    <w:p>
      <w:pPr>
        <w:spacing w:before="289" w:beforeLines="50" w:after="289" w:afterLines="50" w:line="560" w:lineRule="exact"/>
        <w:jc w:val="center"/>
        <w:rPr>
          <w:rFonts w:hint="eastAsia" w:ascii="黑体" w:hAnsi="黑体" w:eastAsia="黑体"/>
          <w:sz w:val="32"/>
          <w:szCs w:val="32"/>
        </w:rPr>
      </w:pPr>
      <w:r>
        <w:rPr>
          <w:rFonts w:hint="eastAsia" w:ascii="黑体" w:hAnsi="黑体" w:eastAsia="黑体"/>
          <w:sz w:val="32"/>
          <w:szCs w:val="32"/>
        </w:rPr>
        <w:t>第三章  生产企业责任</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第九条</w:t>
      </w:r>
      <w:r>
        <w:rPr>
          <w:rFonts w:hint="eastAsia" w:ascii="仿宋_GB2312" w:hAnsi="宋体" w:eastAsia="仿宋_GB2312"/>
          <w:sz w:val="32"/>
          <w:szCs w:val="32"/>
        </w:rPr>
        <w:t xml:space="preserve">  北京市各医疗器械生产企业（以下简称生产企业）作为产品质量安全的第一责任者，应严格按照有关法律、法规、规定、强制性标准及经注册或备案的产品技术要求开展生产活动，保证质量管理体系按照《规范》要求有效运行，确保上市医疗器械产品的安全、有效。</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第十条 </w:t>
      </w:r>
      <w:r>
        <w:rPr>
          <w:rFonts w:hint="eastAsia" w:ascii="仿宋_GB2312" w:hAnsi="宋体" w:eastAsia="仿宋_GB2312"/>
          <w:sz w:val="32"/>
          <w:szCs w:val="32"/>
        </w:rPr>
        <w:t xml:space="preserve"> 生产企业应当建立并保存证明医疗器械产品符合安全性、有效性基本要求的资料。</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第十一条</w:t>
      </w:r>
      <w:r>
        <w:rPr>
          <w:rFonts w:hint="eastAsia" w:ascii="仿宋_GB2312" w:hAnsi="宋体" w:eastAsia="仿宋_GB2312"/>
          <w:sz w:val="32"/>
          <w:szCs w:val="32"/>
        </w:rPr>
        <w:t xml:space="preserve">  生产企业应当开展医疗器械法律、法规、规章、标准等知识培训，并建立培训档案。生产岗位操作人员应当具有相应的理论知识和实际操作技能。</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第十二条</w:t>
      </w:r>
      <w:r>
        <w:rPr>
          <w:rFonts w:hint="eastAsia" w:ascii="仿宋_GB2312" w:hAnsi="宋体" w:eastAsia="仿宋_GB2312"/>
          <w:sz w:val="32"/>
          <w:szCs w:val="32"/>
        </w:rPr>
        <w:t xml:space="preserve">  生产企业应当定期按照《规范》的要求对质量管理体系情况进行全面自查，并至少于每年年底向所在辖区区局或直属分局提交年度自查报告。</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第十三条 </w:t>
      </w:r>
      <w:r>
        <w:rPr>
          <w:rFonts w:hint="eastAsia" w:ascii="仿宋_GB2312" w:hAnsi="宋体" w:eastAsia="仿宋_GB2312"/>
          <w:sz w:val="32"/>
          <w:szCs w:val="32"/>
        </w:rPr>
        <w:t xml:space="preserve"> 生产企业基本情况发生变化或者发生重大事项的，应当按照有关要求向所在辖区区局或直属分局进行报告；不再符合医疗器械质量管理体系要求的，生产企业应当立即采取整改措施；可能影响医疗器械安全、有效的，生产企业应当立即停止生产活动。</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第十四条</w:t>
      </w:r>
      <w:r>
        <w:rPr>
          <w:rFonts w:hint="eastAsia" w:ascii="仿宋_GB2312" w:hAnsi="宋体" w:eastAsia="仿宋_GB2312"/>
          <w:sz w:val="32"/>
          <w:szCs w:val="32"/>
        </w:rPr>
        <w:t xml:space="preserve">  生产企业发现其生产的医疗器械存在安全隐患，可能对人体健康和生命安全造成伤害的，应当立即停止生产活动，按照国家食品药品监督管理总局关于产品召回的有关要求进行处理，并将医疗器械召回和处理情况向所在辖区食品药品监督管理部门和卫生计生主管部门报告。</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第十五条</w:t>
      </w:r>
      <w:r>
        <w:rPr>
          <w:rFonts w:hint="eastAsia" w:ascii="仿宋_GB2312" w:hAnsi="宋体" w:eastAsia="仿宋_GB2312"/>
          <w:sz w:val="32"/>
          <w:szCs w:val="32"/>
        </w:rPr>
        <w:t>　医疗器械产品连续停产一年以上且无同类产品在产的，重新生产时，生产企业应当提前书面报告所在辖区食品药品监督管理部门，经核查符合要求后方可恢复生产。</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第十六条 </w:t>
      </w:r>
      <w:r>
        <w:rPr>
          <w:rFonts w:hint="eastAsia" w:ascii="仿宋_GB2312" w:hAnsi="宋体" w:eastAsia="仿宋_GB2312"/>
          <w:sz w:val="32"/>
          <w:szCs w:val="32"/>
        </w:rPr>
        <w:t xml:space="preserve"> 生产企业应积极配合各级食品药品监督管理部门的监督检查工作，为检查人员提供真实、有效的监督检查材料和场地；在监督检查结束后应对检查中发现的问题进行认真整改，并及时将整改情况报送辖区食品药品监督管理部门。</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第十七条</w:t>
      </w:r>
      <w:r>
        <w:rPr>
          <w:rFonts w:hint="eastAsia" w:ascii="仿宋_GB2312" w:hAnsi="宋体" w:eastAsia="仿宋_GB2312"/>
          <w:sz w:val="32"/>
          <w:szCs w:val="32"/>
        </w:rPr>
        <w:t xml:space="preserve">  生产企业不得无故拒绝接受检查，不得欺瞒检查人员，不得弄虚作假。同时，应对检查人员的监督检查过程实施监督，如发现检查人员在监督活动中存在违法违纪行为，应及时向有关部门反映。</w:t>
      </w:r>
    </w:p>
    <w:p>
      <w:pPr>
        <w:spacing w:line="560" w:lineRule="exact"/>
        <w:rPr>
          <w:rFonts w:ascii="仿宋_GB2312" w:hAnsi="宋体" w:eastAsia="仿宋_GB2312"/>
          <w:sz w:val="32"/>
          <w:szCs w:val="32"/>
        </w:rPr>
      </w:pPr>
    </w:p>
    <w:p>
      <w:pPr>
        <w:spacing w:before="289" w:beforeLines="50" w:after="289" w:afterLines="50" w:line="560" w:lineRule="exact"/>
        <w:jc w:val="center"/>
        <w:rPr>
          <w:rFonts w:hint="eastAsia" w:ascii="黑体" w:hAnsi="黑体" w:eastAsia="黑体"/>
          <w:sz w:val="32"/>
          <w:szCs w:val="32"/>
        </w:rPr>
      </w:pPr>
      <w:r>
        <w:rPr>
          <w:rFonts w:hint="eastAsia" w:ascii="黑体" w:hAnsi="黑体" w:eastAsia="黑体"/>
          <w:sz w:val="32"/>
          <w:szCs w:val="32"/>
        </w:rPr>
        <w:t>第四章  生产审批管理</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第十八条</w:t>
      </w:r>
      <w:r>
        <w:rPr>
          <w:rFonts w:hint="eastAsia" w:ascii="仿宋_GB2312" w:hAnsi="宋体" w:eastAsia="仿宋_GB2312"/>
          <w:sz w:val="32"/>
          <w:szCs w:val="32"/>
        </w:rPr>
        <w:t xml:space="preserve">  各区局、直属分局应当自医疗器械许可申请受理之日起30个工作日内对申请资料进行审核，并按照《规范》及其配套附录的要求开展现场检查；对于生产地址非文字性变更的，各区局、直属分局应当自医疗器械许可申请受理之日起2个工作日内将申请资料移送市器审中心进行审核，市器审中心应当按照《规范》及其配套附录的要求在22个工作日内完成现场检查并将结果反馈给相关区局或直属分局。</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第十九条</w:t>
      </w:r>
      <w:r>
        <w:rPr>
          <w:rFonts w:hint="eastAsia" w:ascii="仿宋_GB2312" w:hAnsi="宋体" w:eastAsia="仿宋_GB2312"/>
          <w:sz w:val="32"/>
          <w:szCs w:val="32"/>
        </w:rPr>
        <w:t xml:space="preserve">  现场检查结论分为“通过检查”、“未通过检查”、“整改后复查”三种情况。</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生产许可现场核查中未发现生产企业有不符合项目的，核查结论为“通过核查”。生产许可现场核查中发现生产企业关键项目不符合要求的，或虽然仅有一般项目不符合要求，但可能对产品质量产生直接影响的，核查结论为“未通过核查”。生产许可现场核查中发现生产企业仅存在一般项目不符合要求，且不对产品质量产生直接影响的，核查结论为“整改后复查”。生产企业应当在30日内完成整改并向原审查部门一次性提交整改报告，经审查全部项目符合要求的，核查结论为“通过核查”，对于规定时限内未能提交整改报告或复查仍存在不符合项目的，核查结论为“未通过核查”。</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第二十条</w:t>
      </w:r>
      <w:r>
        <w:rPr>
          <w:rFonts w:hint="eastAsia" w:ascii="仿宋_GB2312" w:hAnsi="宋体" w:eastAsia="仿宋_GB2312"/>
          <w:sz w:val="32"/>
          <w:szCs w:val="32"/>
        </w:rPr>
        <w:t xml:space="preserve">  现场检查应当根据情况，避免重复核查。不需要通过现场复查进行核实的，原则上不进行现场检查。注册申请人申请医疗器械注册质量管理体系核查符合要求后，各区局、各直属分局原则上不再安排生产许可现场核查。现场检查时间一般为1至3天。</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第二十一条</w:t>
      </w:r>
      <w:r>
        <w:rPr>
          <w:rFonts w:hint="eastAsia" w:ascii="仿宋_GB2312" w:hAnsi="宋体" w:eastAsia="仿宋_GB2312"/>
          <w:sz w:val="32"/>
          <w:szCs w:val="32"/>
        </w:rPr>
        <w:t xml:space="preserve">  对于现场检查中发现生产企业存在涉嫌违法违规的或因生产企业自身原因导致现场检查无法正常开展的，检查组应当终止检查；对于部分生产工序由其他生产企业完成的，检查组可视情况对相关企业进行延伸检查。</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第二十二条 </w:t>
      </w:r>
      <w:r>
        <w:rPr>
          <w:rFonts w:hint="eastAsia" w:ascii="仿宋_GB2312" w:hAnsi="宋体" w:eastAsia="仿宋_GB2312"/>
          <w:sz w:val="32"/>
          <w:szCs w:val="32"/>
        </w:rPr>
        <w:t xml:space="preserve"> 生产企业应当在《许可证》有效期届满6个月前申请延续许可。对于在有效期届满6个月内申请延续许可的，各区局、直属分局可以按照许可延续程序办理。在作出许可决定之日，原《许可证》未超过有效期的，应当保留原《许可证》证号，有效期自发证之日起计算；在许可过程中，原《许可证》超过有效期的，重新赋予医疗器械生产许可证编号。</w:t>
      </w:r>
    </w:p>
    <w:p>
      <w:pPr>
        <w:spacing w:line="560" w:lineRule="exact"/>
        <w:ind w:firstLine="622" w:firstLineChars="200"/>
        <w:rPr>
          <w:rFonts w:hint="eastAsia" w:ascii="仿宋_GB2312" w:hAnsi="宋体" w:eastAsia="仿宋_GB2312"/>
          <w:sz w:val="32"/>
          <w:szCs w:val="32"/>
        </w:rPr>
      </w:pPr>
    </w:p>
    <w:p>
      <w:pPr>
        <w:spacing w:before="289" w:beforeLines="50" w:after="289" w:afterLines="50" w:line="560" w:lineRule="exact"/>
        <w:jc w:val="center"/>
        <w:rPr>
          <w:rFonts w:hint="eastAsia" w:ascii="黑体" w:hAnsi="黑体" w:eastAsia="黑体"/>
          <w:sz w:val="32"/>
          <w:szCs w:val="32"/>
        </w:rPr>
      </w:pPr>
      <w:r>
        <w:rPr>
          <w:rFonts w:hint="eastAsia" w:ascii="黑体" w:hAnsi="黑体" w:eastAsia="黑体"/>
          <w:sz w:val="32"/>
          <w:szCs w:val="32"/>
        </w:rPr>
        <w:t>第五章  监督检查的实施</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第二十三条</w:t>
      </w:r>
      <w:r>
        <w:rPr>
          <w:rFonts w:hint="eastAsia" w:ascii="仿宋_GB2312" w:hAnsi="宋体" w:eastAsia="仿宋_GB2312"/>
          <w:sz w:val="32"/>
          <w:szCs w:val="32"/>
        </w:rPr>
        <w:t xml:space="preserve">  北京市各级食品药品监督管理部门对北京市医疗器械生产企业开展的涉及行政许可和日常监管的监督检查可以采取全项目检查、飞行检查、日常检查、跟踪检查、资料检查等形式。监督检查时应参照相关医疗器械生产企业现场监督检查工作指导文件进行。</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第二十四条</w:t>
      </w:r>
      <w:r>
        <w:rPr>
          <w:rFonts w:hint="eastAsia" w:ascii="仿宋_GB2312" w:hAnsi="宋体" w:eastAsia="仿宋_GB2312"/>
          <w:sz w:val="32"/>
          <w:szCs w:val="32"/>
        </w:rPr>
        <w:t xml:space="preserve">  实施现场检查前，应针对不同企业情况、问题和产品特点，制定检查方案，确定检查内容。实施现场检查时，监督检查人员不应少于2人。</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第二十五条</w:t>
      </w:r>
      <w:r>
        <w:rPr>
          <w:rFonts w:hint="eastAsia" w:ascii="仿宋_GB2312" w:hAnsi="宋体" w:eastAsia="仿宋_GB2312"/>
          <w:sz w:val="32"/>
          <w:szCs w:val="32"/>
        </w:rPr>
        <w:t xml:space="preserve">  对于监督检查中发现企业存在的问题，监督检查人员应及时与企业进行确认，同时告知企业整改要求。必要时，可以对产品进行抽样检验。</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第二十六条</w:t>
      </w:r>
      <w:r>
        <w:rPr>
          <w:rFonts w:hint="eastAsia" w:ascii="仿宋_GB2312" w:hAnsi="宋体" w:eastAsia="仿宋_GB2312"/>
          <w:sz w:val="32"/>
          <w:szCs w:val="32"/>
        </w:rPr>
        <w:t xml:space="preserve">  对于在抽样检验中发现的不符合标准规定的产品，相关区局和直属分局应按照有关法规文件对涉及的生产企业进行调查处理，并要求生产企业查明原因，并监督企业完成整改。</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第二十七条 </w:t>
      </w:r>
      <w:r>
        <w:rPr>
          <w:rFonts w:hint="eastAsia" w:ascii="仿宋_GB2312" w:hAnsi="宋体" w:eastAsia="仿宋_GB2312"/>
          <w:sz w:val="32"/>
          <w:szCs w:val="32"/>
        </w:rPr>
        <w:t xml:space="preserve"> 针对不符合标准规定产品，各区局、直属分局应就生产企业的召回情况进行监督，若生产企业未组织召回，相关区局和直属分局应责令有关生产企业实施召回。</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第二十八条</w:t>
      </w:r>
      <w:r>
        <w:rPr>
          <w:rFonts w:hint="eastAsia" w:ascii="仿宋_GB2312" w:hAnsi="宋体" w:eastAsia="仿宋_GB2312"/>
          <w:sz w:val="32"/>
          <w:szCs w:val="32"/>
        </w:rPr>
        <w:t xml:space="preserve">  对于在监督检查中发现企业存在的问题，监督检查人员应督促有关企业开展整改，在接到企业整改报告后，应及时对企业的整改情况进行核实，必要时可进行现场检查。对于在监督检查中发现的企业违法、违规行为，监督检查人员应及时采取相应措施进行调查处理。</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第二十九条 </w:t>
      </w:r>
      <w:r>
        <w:rPr>
          <w:rFonts w:hint="eastAsia" w:ascii="仿宋_GB2312" w:hAnsi="宋体" w:eastAsia="仿宋_GB2312"/>
          <w:sz w:val="32"/>
          <w:szCs w:val="32"/>
        </w:rPr>
        <w:t xml:space="preserve"> 各区局、直属分局应根据辖区企业状况，及时掌握本辖区内企业的相关信息，了解企业生产情况，并按照有关要求建立生产许可和备案档案，并至少将医疗器械生产企业产品注册证及附件、委托生产、监督检查、抽查检验、不良事件监测、产品召回、不良行为记录、投诉举报和处罚等信息纳入档案管理。</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第三十条</w:t>
      </w:r>
      <w:r>
        <w:rPr>
          <w:rFonts w:hint="eastAsia" w:ascii="仿宋_GB2312" w:hAnsi="宋体" w:eastAsia="仿宋_GB2312"/>
          <w:sz w:val="32"/>
          <w:szCs w:val="32"/>
        </w:rPr>
        <w:t xml:space="preserve">  市局应根据国家食品药品监督管理总局发布的重点监管医疗器械产品目录，结合北京市医疗器械监管实际，调整和发布北京市重点监管医疗器械产品目录。</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各区局、直属分局应对生产国家和北京市重点监管医疗器械目录中产品的企业，以及在医疗器械生产企业分类分级管理中产品风险或质量管理体系风险较高的企业加强监督检查。</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第三十一条 </w:t>
      </w:r>
      <w:r>
        <w:rPr>
          <w:rFonts w:hint="eastAsia" w:ascii="仿宋_GB2312" w:hAnsi="宋体" w:eastAsia="仿宋_GB2312"/>
          <w:sz w:val="32"/>
          <w:szCs w:val="32"/>
        </w:rPr>
        <w:t xml:space="preserve"> 对于监督检查中发现企业存在以下问题，市局可在官方网站和有关媒体对其进行公示：</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（一）存在严重不符合医疗器械生产质量管理规范要求且不能按照要求完成整改的；</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（二）不配合食品药品监管部门检查的；</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（三）因违反法规受到处罚的；</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（四）产品抽验不合格的；</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（五）需要进行公示的其他情形。</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 xml:space="preserve">第三十二条 </w:t>
      </w:r>
      <w:r>
        <w:rPr>
          <w:rFonts w:hint="eastAsia" w:ascii="仿宋_GB2312" w:hAnsi="宋体" w:eastAsia="仿宋_GB2312"/>
          <w:sz w:val="32"/>
          <w:szCs w:val="32"/>
        </w:rPr>
        <w:t xml:space="preserve"> 对于不具备原生产许可条件或者与备案信息不符，且无法取得联系的医疗器械生产企业，市局在将相关情况进行公示后，依法注销其《医疗器械生产许可证》或者在第一类医疗器械生产备案信息中予以标注，并向社会公告。</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第三十三条</w:t>
      </w:r>
      <w:r>
        <w:rPr>
          <w:rFonts w:hint="eastAsia" w:ascii="仿宋_GB2312" w:hAnsi="宋体" w:eastAsia="仿宋_GB2312"/>
          <w:sz w:val="32"/>
          <w:szCs w:val="32"/>
        </w:rPr>
        <w:t xml:space="preserve">  各区局、直属分局应分别于每年6月10日和12月10日前将本行政区域内医疗器械生产企业监督管理情况报送市局。监督管理情况应至少包含以下内容：</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（一）监督管理工作的基本情况、主要措施及取得的成效；</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（二）监督中发现的主要问题、重大问题及处理情况；</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（三）《重点监管医疗器械产品情况表》（见附表1）；</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（四）医疗器械生产企业监督检查情况数据（见附表2）；</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（五）《医疗器械生产企业监督检查情况汇总表》（见附表3）；</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（六）下一年度医疗器械生产企业监督管理工作计划（仅在每年12月10日前上报）。</w:t>
      </w: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市局应及时汇总全市医疗器械生产企业监督管理情况，并报送国家食品药品监督管理总局。</w:t>
      </w:r>
    </w:p>
    <w:p>
      <w:pPr>
        <w:spacing w:line="560" w:lineRule="exact"/>
        <w:ind w:firstLine="622" w:firstLineChars="200"/>
        <w:rPr>
          <w:rFonts w:hint="eastAsia" w:ascii="仿宋_GB2312" w:hAnsi="宋体" w:eastAsia="仿宋_GB2312"/>
          <w:sz w:val="32"/>
          <w:szCs w:val="32"/>
        </w:rPr>
      </w:pPr>
    </w:p>
    <w:p>
      <w:pPr>
        <w:spacing w:before="289" w:beforeLines="50" w:after="289" w:afterLines="50" w:line="560" w:lineRule="exact"/>
        <w:jc w:val="center"/>
        <w:rPr>
          <w:rFonts w:hint="eastAsia" w:ascii="黑体" w:hAnsi="黑体" w:eastAsia="黑体"/>
          <w:sz w:val="32"/>
          <w:szCs w:val="32"/>
        </w:rPr>
      </w:pPr>
      <w:r>
        <w:rPr>
          <w:rFonts w:hint="eastAsia" w:ascii="黑体" w:hAnsi="黑体" w:eastAsia="黑体"/>
          <w:sz w:val="32"/>
          <w:szCs w:val="32"/>
        </w:rPr>
        <w:t>第六章  附  则</w:t>
      </w:r>
    </w:p>
    <w:p>
      <w:pPr>
        <w:spacing w:line="560" w:lineRule="exact"/>
        <w:ind w:firstLine="622" w:firstLineChars="200"/>
        <w:rPr>
          <w:rFonts w:hint="eastAsia" w:ascii="仿宋_GB2312" w:hAnsi="宋体" w:eastAsia="仿宋_GB2312"/>
          <w:spacing w:val="-4"/>
          <w:sz w:val="32"/>
          <w:szCs w:val="32"/>
        </w:rPr>
      </w:pPr>
      <w:r>
        <w:rPr>
          <w:rFonts w:hint="eastAsia" w:ascii="黑体" w:hAnsi="黑体" w:eastAsia="黑体"/>
          <w:sz w:val="32"/>
          <w:szCs w:val="32"/>
        </w:rPr>
        <w:t>第三十四条</w:t>
      </w:r>
      <w:r>
        <w:rPr>
          <w:rFonts w:hint="eastAsia" w:ascii="仿宋_GB2312" w:hAnsi="宋体" w:eastAsia="仿宋_GB2312"/>
          <w:sz w:val="32"/>
          <w:szCs w:val="32"/>
        </w:rPr>
        <w:t xml:space="preserve">  </w:t>
      </w:r>
      <w:r>
        <w:rPr>
          <w:rFonts w:hint="eastAsia" w:ascii="仿宋_GB2312" w:hAnsi="宋体" w:eastAsia="仿宋_GB2312"/>
          <w:spacing w:val="-4"/>
          <w:sz w:val="32"/>
          <w:szCs w:val="32"/>
        </w:rPr>
        <w:t>本规定由北京市食品药品监督管理局负责解释。</w:t>
      </w:r>
    </w:p>
    <w:p>
      <w:pPr>
        <w:spacing w:line="560" w:lineRule="exact"/>
        <w:ind w:firstLine="622" w:firstLineChars="200"/>
        <w:rPr>
          <w:rFonts w:hint="eastAsia" w:ascii="仿宋_GB2312" w:hAnsi="宋体" w:eastAsia="仿宋_GB2312"/>
          <w:sz w:val="32"/>
          <w:szCs w:val="32"/>
        </w:rPr>
      </w:pPr>
      <w:r>
        <w:rPr>
          <w:rFonts w:hint="eastAsia" w:ascii="黑体" w:hAnsi="黑体" w:eastAsia="黑体"/>
          <w:sz w:val="32"/>
          <w:szCs w:val="32"/>
        </w:rPr>
        <w:t>第三十五条</w:t>
      </w:r>
      <w:r>
        <w:rPr>
          <w:rFonts w:hint="eastAsia" w:ascii="仿宋_GB2312" w:hAnsi="宋体" w:eastAsia="仿宋_GB2312"/>
          <w:sz w:val="32"/>
          <w:szCs w:val="32"/>
        </w:rPr>
        <w:t xml:space="preserve">  本规定自2016年X月X日起施行。《北京市药品监督管理局关于发布实施〈北京市医疗器械生产企业日常监督管理实施细则〉的通知》（京药监械〔2008〕19号）、《北京市药品监督管理局关于实施&lt;北京市《医疗器械生产企业许可证》管理暂行规定&gt;的通知》（京药监发〔2005〕3号）同时废止。北京市其他文件规定与本规定不一致的，以本规定为准。</w:t>
      </w:r>
    </w:p>
    <w:p>
      <w:pPr>
        <w:spacing w:line="560" w:lineRule="exact"/>
        <w:ind w:firstLine="622" w:firstLineChars="200"/>
        <w:rPr>
          <w:rFonts w:ascii="仿宋_GB2312" w:hAnsi="宋体" w:eastAsia="仿宋_GB2312"/>
          <w:sz w:val="32"/>
          <w:szCs w:val="32"/>
        </w:rPr>
      </w:pPr>
    </w:p>
    <w:p>
      <w:pPr>
        <w:spacing w:line="560" w:lineRule="exact"/>
        <w:ind w:firstLine="622" w:firstLineChars="200"/>
        <w:rPr>
          <w:rFonts w:hint="eastAsia" w:ascii="仿宋_GB2312" w:hAnsi="宋体" w:eastAsia="仿宋_GB2312"/>
          <w:sz w:val="32"/>
          <w:szCs w:val="32"/>
        </w:rPr>
      </w:pPr>
      <w:r>
        <w:rPr>
          <w:rFonts w:hint="eastAsia" w:ascii="仿宋_GB2312" w:hAnsi="宋体" w:eastAsia="仿宋_GB2312"/>
          <w:sz w:val="32"/>
          <w:szCs w:val="32"/>
        </w:rPr>
        <w:t>附表：1.重点监管医疗器械产品情况表</w:t>
      </w:r>
    </w:p>
    <w:p>
      <w:pPr>
        <w:spacing w:line="560" w:lineRule="exact"/>
        <w:ind w:firstLine="1555" w:firstLineChars="500"/>
        <w:rPr>
          <w:rFonts w:hint="eastAsia" w:ascii="仿宋_GB2312" w:hAnsi="宋体" w:eastAsia="仿宋_GB2312"/>
          <w:sz w:val="32"/>
          <w:szCs w:val="32"/>
        </w:rPr>
      </w:pPr>
      <w:r>
        <w:rPr>
          <w:rFonts w:hint="eastAsia" w:ascii="仿宋_GB2312" w:hAnsi="宋体" w:eastAsia="仿宋_GB2312"/>
          <w:sz w:val="32"/>
          <w:szCs w:val="32"/>
        </w:rPr>
        <w:t>2.医疗器械生产企业监督数据</w:t>
      </w:r>
    </w:p>
    <w:p>
      <w:pPr>
        <w:spacing w:line="560" w:lineRule="exact"/>
        <w:ind w:firstLine="1555" w:firstLineChars="500"/>
        <w:rPr>
          <w:rFonts w:hint="eastAsia" w:ascii="仿宋_GB2312" w:hAnsi="宋体" w:eastAsia="仿宋_GB2312"/>
          <w:sz w:val="32"/>
          <w:szCs w:val="32"/>
        </w:rPr>
      </w:pPr>
      <w:r>
        <w:rPr>
          <w:rFonts w:hint="eastAsia" w:ascii="仿宋_GB2312" w:hAnsi="宋体" w:eastAsia="仿宋_GB2312"/>
          <w:sz w:val="32"/>
          <w:szCs w:val="32"/>
        </w:rPr>
        <w:t>3.医疗器械生产企业监督检查情况汇总表</w:t>
      </w:r>
    </w:p>
    <w:p>
      <w:pPr>
        <w:spacing w:line="560" w:lineRule="exact"/>
        <w:ind w:firstLine="1555" w:firstLineChars="500"/>
        <w:rPr>
          <w:rFonts w:hint="eastAsia" w:ascii="仿宋_GB2312" w:hAnsi="宋体" w:eastAsia="仿宋_GB2312"/>
          <w:sz w:val="32"/>
          <w:szCs w:val="32"/>
        </w:rPr>
      </w:pPr>
    </w:p>
    <w:p>
      <w:pPr>
        <w:spacing w:line="560" w:lineRule="exact"/>
        <w:rPr>
          <w:rFonts w:hint="eastAsia" w:ascii="仿宋_GB2312" w:hAnsi="宋体" w:eastAsia="仿宋_GB2312"/>
          <w:sz w:val="32"/>
          <w:szCs w:val="32"/>
        </w:rPr>
      </w:pPr>
    </w:p>
    <w:p>
      <w:pPr>
        <w:spacing w:line="560" w:lineRule="exact"/>
        <w:rPr>
          <w:rFonts w:ascii="仿宋_GB2312" w:hAnsi="宋体" w:eastAsia="仿宋_GB2312"/>
          <w:sz w:val="32"/>
          <w:szCs w:val="32"/>
        </w:rPr>
        <w:sectPr>
          <w:footerReference r:id="rId3" w:type="default"/>
          <w:footerReference r:id="rId4" w:type="even"/>
          <w:pgSz w:w="16838" w:h="11906" w:orient="landscape"/>
          <w:pgMar w:top="1588" w:right="2098" w:bottom="1474" w:left="1985" w:header="851" w:footer="1588" w:gutter="0"/>
          <w:cols w:space="720" w:num="1"/>
          <w:docGrid w:type="linesAndChars" w:linePitch="579" w:charSpace="-1844"/>
        </w:sectPr>
      </w:pPr>
    </w:p>
    <w:p>
      <w:pPr>
        <w:widowControl/>
        <w:jc w:val="left"/>
        <w:rPr>
          <w:rFonts w:ascii="黑体" w:hAnsi="黑体" w:eastAsia="黑体" w:cs="宋体"/>
          <w:color w:val="000000"/>
          <w:kern w:val="0"/>
          <w:sz w:val="32"/>
        </w:rPr>
      </w:pPr>
      <w:r>
        <w:rPr>
          <w:rFonts w:ascii="黑体" w:hAnsi="黑体" w:eastAsia="黑体" w:cs="宋体"/>
          <w:color w:val="000000"/>
          <w:kern w:val="0"/>
          <w:sz w:val="32"/>
        </w:rPr>
        <w:t>附</w:t>
      </w:r>
      <w:r>
        <w:rPr>
          <w:rFonts w:hint="eastAsia" w:ascii="黑体" w:hAnsi="黑体" w:eastAsia="黑体" w:cs="宋体"/>
          <w:color w:val="000000"/>
          <w:kern w:val="0"/>
          <w:sz w:val="32"/>
        </w:rPr>
        <w:t>表</w:t>
      </w:r>
      <w:r>
        <w:rPr>
          <w:rFonts w:ascii="黑体" w:hAnsi="黑体" w:eastAsia="黑体" w:cs="宋体"/>
          <w:color w:val="000000"/>
          <w:kern w:val="0"/>
          <w:sz w:val="32"/>
        </w:rPr>
        <w:t>1</w:t>
      </w:r>
    </w:p>
    <w:p>
      <w:pPr>
        <w:widowControl/>
        <w:spacing w:line="360" w:lineRule="auto"/>
        <w:jc w:val="center"/>
        <w:rPr>
          <w:rFonts w:ascii="宋体" w:hAnsi="宋体" w:cs="宋体"/>
          <w:b/>
          <w:color w:val="000000"/>
          <w:kern w:val="0"/>
          <w:sz w:val="28"/>
          <w:szCs w:val="28"/>
        </w:rPr>
      </w:pPr>
      <w:r>
        <w:rPr>
          <w:rFonts w:hint="eastAsia" w:ascii="方正小标宋简体" w:hAnsi="宋体" w:eastAsia="方正小标宋简体" w:cs="宋体"/>
          <w:color w:val="000000"/>
          <w:kern w:val="0"/>
          <w:sz w:val="44"/>
          <w:szCs w:val="28"/>
        </w:rPr>
        <w:t>重点监管医疗器械产品情况表</w:t>
      </w:r>
    </w:p>
    <w:p>
      <w:pPr>
        <w:widowControl/>
        <w:jc w:val="left"/>
        <w:rPr>
          <w:rFonts w:ascii="宋体" w:hAnsi="宋体" w:cs="宋体"/>
          <w:color w:val="000000"/>
          <w:kern w:val="0"/>
          <w:sz w:val="24"/>
        </w:rPr>
      </w:pPr>
      <w:r>
        <w:rPr>
          <w:rFonts w:ascii="宋体" w:hAnsi="宋体" w:cs="宋体"/>
          <w:color w:val="000000"/>
          <w:kern w:val="0"/>
          <w:sz w:val="24"/>
        </w:rPr>
        <w:t>填报单位（盖章）：                填报人：            填报日期：</w:t>
      </w:r>
    </w:p>
    <w:tbl>
      <w:tblPr>
        <w:tblStyle w:val="8"/>
        <w:tblW w:w="13978" w:type="dxa"/>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904"/>
        <w:gridCol w:w="2162"/>
        <w:gridCol w:w="2340"/>
        <w:gridCol w:w="1619"/>
        <w:gridCol w:w="2141"/>
        <w:gridCol w:w="1605"/>
        <w:gridCol w:w="1605"/>
        <w:gridCol w:w="160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03" w:hRule="atLeast"/>
        </w:trPr>
        <w:tc>
          <w:tcPr>
            <w:tcW w:w="904" w:type="dxa"/>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序号</w:t>
            </w:r>
          </w:p>
        </w:tc>
        <w:tc>
          <w:tcPr>
            <w:tcW w:w="2162" w:type="dxa"/>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产品名称</w:t>
            </w:r>
          </w:p>
        </w:tc>
        <w:tc>
          <w:tcPr>
            <w:tcW w:w="2340" w:type="dxa"/>
            <w:tcMar>
              <w:top w:w="0" w:type="dxa"/>
              <w:left w:w="108" w:type="dxa"/>
              <w:bottom w:w="0" w:type="dxa"/>
              <w:right w:w="108" w:type="dxa"/>
            </w:tcMar>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注册证号</w:t>
            </w:r>
          </w:p>
        </w:tc>
        <w:tc>
          <w:tcPr>
            <w:tcW w:w="1619" w:type="dxa"/>
            <w:tcMar>
              <w:top w:w="0" w:type="dxa"/>
              <w:left w:w="108" w:type="dxa"/>
              <w:bottom w:w="0" w:type="dxa"/>
              <w:right w:w="108" w:type="dxa"/>
            </w:tcMar>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有效期</w:t>
            </w:r>
          </w:p>
        </w:tc>
        <w:tc>
          <w:tcPr>
            <w:tcW w:w="2141" w:type="dxa"/>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重点类别</w:t>
            </w:r>
          </w:p>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(国重/市重)</w:t>
            </w:r>
          </w:p>
        </w:tc>
        <w:tc>
          <w:tcPr>
            <w:tcW w:w="1605" w:type="dxa"/>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企业名称</w:t>
            </w:r>
          </w:p>
        </w:tc>
        <w:tc>
          <w:tcPr>
            <w:tcW w:w="1605" w:type="dxa"/>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许可证编号</w:t>
            </w:r>
          </w:p>
        </w:tc>
        <w:tc>
          <w:tcPr>
            <w:tcW w:w="1602" w:type="dxa"/>
            <w:vAlign w:val="center"/>
          </w:tcPr>
          <w:p>
            <w:pPr>
              <w:widowControl/>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03" w:hRule="atLeast"/>
        </w:trPr>
        <w:tc>
          <w:tcPr>
            <w:tcW w:w="904" w:type="dxa"/>
            <w:vAlign w:val="center"/>
          </w:tcPr>
          <w:p>
            <w:pPr>
              <w:widowControl/>
              <w:spacing w:line="300" w:lineRule="exact"/>
              <w:jc w:val="center"/>
              <w:rPr>
                <w:rFonts w:ascii="宋体" w:hAnsi="宋体" w:cs="宋体"/>
                <w:color w:val="000000"/>
                <w:kern w:val="0"/>
                <w:sz w:val="24"/>
                <w:szCs w:val="24"/>
              </w:rPr>
            </w:pPr>
          </w:p>
        </w:tc>
        <w:tc>
          <w:tcPr>
            <w:tcW w:w="2162" w:type="dxa"/>
            <w:vAlign w:val="center"/>
          </w:tcPr>
          <w:p>
            <w:pPr>
              <w:widowControl/>
              <w:spacing w:line="300" w:lineRule="exact"/>
              <w:jc w:val="center"/>
              <w:rPr>
                <w:rFonts w:ascii="宋体" w:hAnsi="宋体" w:cs="宋体"/>
                <w:color w:val="000000"/>
                <w:kern w:val="0"/>
                <w:sz w:val="24"/>
                <w:szCs w:val="24"/>
              </w:rPr>
            </w:pPr>
          </w:p>
        </w:tc>
        <w:tc>
          <w:tcPr>
            <w:tcW w:w="2340"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1619"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2141"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2" w:type="dxa"/>
            <w:vAlign w:val="center"/>
          </w:tcPr>
          <w:p>
            <w:pPr>
              <w:widowControl/>
              <w:spacing w:line="300" w:lineRule="exact"/>
              <w:jc w:val="center"/>
              <w:rPr>
                <w:rFonts w:ascii="宋体" w:hAnsi="宋体" w:cs="宋体"/>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03" w:hRule="atLeast"/>
        </w:trPr>
        <w:tc>
          <w:tcPr>
            <w:tcW w:w="904" w:type="dxa"/>
            <w:vAlign w:val="center"/>
          </w:tcPr>
          <w:p>
            <w:pPr>
              <w:widowControl/>
              <w:spacing w:line="300" w:lineRule="exact"/>
              <w:jc w:val="center"/>
              <w:rPr>
                <w:rFonts w:ascii="宋体" w:hAnsi="宋体" w:cs="宋体"/>
                <w:color w:val="000000"/>
                <w:kern w:val="0"/>
                <w:sz w:val="24"/>
                <w:szCs w:val="24"/>
              </w:rPr>
            </w:pPr>
          </w:p>
        </w:tc>
        <w:tc>
          <w:tcPr>
            <w:tcW w:w="2162" w:type="dxa"/>
            <w:vAlign w:val="center"/>
          </w:tcPr>
          <w:p>
            <w:pPr>
              <w:widowControl/>
              <w:spacing w:line="300" w:lineRule="exact"/>
              <w:jc w:val="center"/>
              <w:rPr>
                <w:rFonts w:ascii="宋体" w:hAnsi="宋体" w:cs="宋体"/>
                <w:color w:val="000000"/>
                <w:kern w:val="0"/>
                <w:sz w:val="24"/>
                <w:szCs w:val="24"/>
              </w:rPr>
            </w:pPr>
          </w:p>
        </w:tc>
        <w:tc>
          <w:tcPr>
            <w:tcW w:w="2340"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1619"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2141" w:type="dxa"/>
            <w:vAlign w:val="center"/>
          </w:tcPr>
          <w:p>
            <w:pPr>
              <w:widowControl/>
              <w:spacing w:line="300" w:lineRule="exact"/>
              <w:jc w:val="center"/>
              <w:rPr>
                <w:rFonts w:ascii="宋体" w:hAnsi="宋体" w:cs="宋体"/>
                <w:b/>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2" w:type="dxa"/>
            <w:vAlign w:val="center"/>
          </w:tcPr>
          <w:p>
            <w:pPr>
              <w:widowControl/>
              <w:spacing w:line="300" w:lineRule="exact"/>
              <w:jc w:val="center"/>
              <w:rPr>
                <w:rFonts w:ascii="宋体" w:hAnsi="宋体" w:cs="宋体"/>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03" w:hRule="atLeast"/>
        </w:trPr>
        <w:tc>
          <w:tcPr>
            <w:tcW w:w="904" w:type="dxa"/>
            <w:vAlign w:val="center"/>
          </w:tcPr>
          <w:p>
            <w:pPr>
              <w:widowControl/>
              <w:spacing w:line="300" w:lineRule="exact"/>
              <w:jc w:val="center"/>
              <w:rPr>
                <w:rFonts w:ascii="宋体" w:hAnsi="宋体" w:cs="宋体"/>
                <w:color w:val="000000"/>
                <w:kern w:val="0"/>
                <w:sz w:val="24"/>
                <w:szCs w:val="24"/>
              </w:rPr>
            </w:pPr>
          </w:p>
        </w:tc>
        <w:tc>
          <w:tcPr>
            <w:tcW w:w="2162" w:type="dxa"/>
            <w:vAlign w:val="center"/>
          </w:tcPr>
          <w:p>
            <w:pPr>
              <w:widowControl/>
              <w:spacing w:line="300" w:lineRule="exact"/>
              <w:jc w:val="center"/>
              <w:rPr>
                <w:rFonts w:ascii="宋体" w:hAnsi="宋体" w:cs="宋体"/>
                <w:color w:val="000000"/>
                <w:kern w:val="0"/>
                <w:sz w:val="24"/>
                <w:szCs w:val="24"/>
              </w:rPr>
            </w:pPr>
          </w:p>
        </w:tc>
        <w:tc>
          <w:tcPr>
            <w:tcW w:w="2340"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1619"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2141"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2" w:type="dxa"/>
            <w:vAlign w:val="center"/>
          </w:tcPr>
          <w:p>
            <w:pPr>
              <w:widowControl/>
              <w:spacing w:line="300" w:lineRule="exact"/>
              <w:jc w:val="center"/>
              <w:rPr>
                <w:rFonts w:ascii="宋体" w:hAnsi="宋体" w:cs="宋体"/>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03" w:hRule="atLeast"/>
        </w:trPr>
        <w:tc>
          <w:tcPr>
            <w:tcW w:w="904" w:type="dxa"/>
            <w:vAlign w:val="center"/>
          </w:tcPr>
          <w:p>
            <w:pPr>
              <w:widowControl/>
              <w:spacing w:line="300" w:lineRule="exact"/>
              <w:jc w:val="center"/>
              <w:rPr>
                <w:rFonts w:ascii="宋体" w:hAnsi="宋体" w:cs="宋体"/>
                <w:color w:val="000000"/>
                <w:kern w:val="0"/>
                <w:sz w:val="24"/>
                <w:szCs w:val="24"/>
              </w:rPr>
            </w:pPr>
          </w:p>
        </w:tc>
        <w:tc>
          <w:tcPr>
            <w:tcW w:w="2162" w:type="dxa"/>
            <w:vAlign w:val="center"/>
          </w:tcPr>
          <w:p>
            <w:pPr>
              <w:widowControl/>
              <w:spacing w:line="300" w:lineRule="exact"/>
              <w:jc w:val="center"/>
              <w:rPr>
                <w:rFonts w:ascii="宋体" w:hAnsi="宋体" w:cs="宋体"/>
                <w:color w:val="000000"/>
                <w:kern w:val="0"/>
                <w:sz w:val="24"/>
                <w:szCs w:val="24"/>
              </w:rPr>
            </w:pPr>
          </w:p>
        </w:tc>
        <w:tc>
          <w:tcPr>
            <w:tcW w:w="2340"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1619"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2141"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2" w:type="dxa"/>
            <w:vAlign w:val="center"/>
          </w:tcPr>
          <w:p>
            <w:pPr>
              <w:widowControl/>
              <w:spacing w:line="300" w:lineRule="exact"/>
              <w:jc w:val="center"/>
              <w:rPr>
                <w:rFonts w:ascii="宋体" w:hAnsi="宋体" w:cs="宋体"/>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03" w:hRule="atLeast"/>
        </w:trPr>
        <w:tc>
          <w:tcPr>
            <w:tcW w:w="904" w:type="dxa"/>
            <w:vAlign w:val="center"/>
          </w:tcPr>
          <w:p>
            <w:pPr>
              <w:widowControl/>
              <w:spacing w:line="300" w:lineRule="exact"/>
              <w:jc w:val="center"/>
              <w:rPr>
                <w:rFonts w:ascii="宋体" w:hAnsi="宋体" w:cs="宋体"/>
                <w:color w:val="000000"/>
                <w:kern w:val="0"/>
                <w:sz w:val="24"/>
                <w:szCs w:val="24"/>
              </w:rPr>
            </w:pPr>
          </w:p>
        </w:tc>
        <w:tc>
          <w:tcPr>
            <w:tcW w:w="2162" w:type="dxa"/>
            <w:vAlign w:val="center"/>
          </w:tcPr>
          <w:p>
            <w:pPr>
              <w:widowControl/>
              <w:spacing w:line="300" w:lineRule="exact"/>
              <w:jc w:val="center"/>
              <w:rPr>
                <w:rFonts w:ascii="宋体" w:hAnsi="宋体" w:cs="宋体"/>
                <w:color w:val="000000"/>
                <w:kern w:val="0"/>
                <w:sz w:val="24"/>
                <w:szCs w:val="24"/>
              </w:rPr>
            </w:pPr>
          </w:p>
        </w:tc>
        <w:tc>
          <w:tcPr>
            <w:tcW w:w="2340"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1619"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2141"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2" w:type="dxa"/>
            <w:vAlign w:val="center"/>
          </w:tcPr>
          <w:p>
            <w:pPr>
              <w:widowControl/>
              <w:spacing w:line="300" w:lineRule="exact"/>
              <w:jc w:val="center"/>
              <w:rPr>
                <w:rFonts w:ascii="宋体" w:hAnsi="宋体" w:cs="宋体"/>
                <w:color w:val="0000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03" w:hRule="atLeast"/>
        </w:trPr>
        <w:tc>
          <w:tcPr>
            <w:tcW w:w="904" w:type="dxa"/>
            <w:vAlign w:val="center"/>
          </w:tcPr>
          <w:p>
            <w:pPr>
              <w:widowControl/>
              <w:spacing w:line="300" w:lineRule="exact"/>
              <w:jc w:val="center"/>
              <w:rPr>
                <w:rFonts w:ascii="宋体" w:hAnsi="宋体" w:cs="宋体"/>
                <w:color w:val="000000"/>
                <w:kern w:val="0"/>
                <w:sz w:val="24"/>
                <w:szCs w:val="24"/>
              </w:rPr>
            </w:pPr>
          </w:p>
        </w:tc>
        <w:tc>
          <w:tcPr>
            <w:tcW w:w="2162" w:type="dxa"/>
            <w:vAlign w:val="center"/>
          </w:tcPr>
          <w:p>
            <w:pPr>
              <w:widowControl/>
              <w:spacing w:line="300" w:lineRule="exact"/>
              <w:jc w:val="center"/>
              <w:rPr>
                <w:rFonts w:ascii="宋体" w:hAnsi="宋体" w:cs="宋体"/>
                <w:color w:val="000000"/>
                <w:kern w:val="0"/>
                <w:sz w:val="24"/>
                <w:szCs w:val="24"/>
              </w:rPr>
            </w:pPr>
          </w:p>
        </w:tc>
        <w:tc>
          <w:tcPr>
            <w:tcW w:w="2340"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1619" w:type="dxa"/>
            <w:tcMar>
              <w:top w:w="0" w:type="dxa"/>
              <w:left w:w="108" w:type="dxa"/>
              <w:bottom w:w="0" w:type="dxa"/>
              <w:right w:w="108" w:type="dxa"/>
            </w:tcMar>
            <w:vAlign w:val="center"/>
          </w:tcPr>
          <w:p>
            <w:pPr>
              <w:widowControl/>
              <w:spacing w:line="300" w:lineRule="exact"/>
              <w:jc w:val="center"/>
              <w:rPr>
                <w:rFonts w:ascii="宋体" w:hAnsi="宋体" w:cs="宋体"/>
                <w:color w:val="000000"/>
                <w:kern w:val="0"/>
                <w:sz w:val="24"/>
                <w:szCs w:val="24"/>
              </w:rPr>
            </w:pPr>
          </w:p>
        </w:tc>
        <w:tc>
          <w:tcPr>
            <w:tcW w:w="2141"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5" w:type="dxa"/>
            <w:vAlign w:val="center"/>
          </w:tcPr>
          <w:p>
            <w:pPr>
              <w:widowControl/>
              <w:spacing w:line="300" w:lineRule="exact"/>
              <w:jc w:val="center"/>
              <w:rPr>
                <w:rFonts w:ascii="宋体" w:hAnsi="宋体" w:cs="宋体"/>
                <w:color w:val="000000"/>
                <w:kern w:val="0"/>
                <w:sz w:val="24"/>
                <w:szCs w:val="24"/>
              </w:rPr>
            </w:pPr>
          </w:p>
        </w:tc>
        <w:tc>
          <w:tcPr>
            <w:tcW w:w="1602" w:type="dxa"/>
            <w:vAlign w:val="center"/>
          </w:tcPr>
          <w:p>
            <w:pPr>
              <w:widowControl/>
              <w:spacing w:line="300" w:lineRule="exact"/>
              <w:jc w:val="center"/>
              <w:rPr>
                <w:rFonts w:ascii="宋体" w:hAnsi="宋体" w:cs="宋体"/>
                <w:color w:val="000000"/>
                <w:kern w:val="0"/>
                <w:sz w:val="24"/>
                <w:szCs w:val="24"/>
              </w:rPr>
            </w:pPr>
          </w:p>
        </w:tc>
      </w:tr>
    </w:tbl>
    <w:p>
      <w:pPr>
        <w:widowControl/>
        <w:jc w:val="left"/>
        <w:rPr>
          <w:rFonts w:ascii="宋体" w:hAnsi="宋体" w:cs="宋体"/>
          <w:color w:val="000000"/>
          <w:kern w:val="0"/>
          <w:sz w:val="24"/>
        </w:rPr>
      </w:pPr>
    </w:p>
    <w:p>
      <w:pPr>
        <w:widowControl/>
        <w:jc w:val="left"/>
        <w:rPr>
          <w:rFonts w:ascii="宋体" w:hAnsi="宋体" w:cs="宋体"/>
          <w:color w:val="000000"/>
          <w:kern w:val="0"/>
          <w:sz w:val="22"/>
        </w:rPr>
      </w:pPr>
      <w:r>
        <w:rPr>
          <w:rFonts w:hint="eastAsia" w:ascii="宋体" w:hAnsi="宋体" w:cs="宋体"/>
          <w:color w:val="000000"/>
          <w:kern w:val="0"/>
          <w:sz w:val="22"/>
        </w:rPr>
        <w:t>填表说明：</w:t>
      </w:r>
      <w:r>
        <w:rPr>
          <w:rFonts w:ascii="宋体" w:hAnsi="宋体" w:cs="宋体"/>
          <w:color w:val="000000"/>
          <w:kern w:val="0"/>
          <w:sz w:val="22"/>
        </w:rPr>
        <w:t>1</w:t>
      </w:r>
      <w:r>
        <w:rPr>
          <w:rFonts w:hint="eastAsia" w:ascii="宋体" w:hAnsi="宋体" w:cs="宋体"/>
          <w:color w:val="000000"/>
          <w:kern w:val="0"/>
          <w:sz w:val="22"/>
        </w:rPr>
        <w:t>.本表由区局和直属分局填报；</w:t>
      </w:r>
    </w:p>
    <w:p>
      <w:pPr>
        <w:widowControl/>
        <w:jc w:val="left"/>
        <w:rPr>
          <w:rFonts w:ascii="宋体" w:hAnsi="宋体" w:cs="宋体"/>
          <w:color w:val="000000"/>
          <w:kern w:val="0"/>
          <w:sz w:val="20"/>
          <w:szCs w:val="21"/>
        </w:rPr>
      </w:pPr>
      <w:r>
        <w:rPr>
          <w:rFonts w:hint="eastAsia" w:ascii="宋体" w:hAnsi="宋体" w:cs="宋体"/>
          <w:color w:val="000000"/>
          <w:kern w:val="0"/>
          <w:sz w:val="22"/>
        </w:rPr>
        <w:t>　　　　　2.重点监管产品填写不够用可加附页。</w:t>
      </w:r>
    </w:p>
    <w:p>
      <w:pPr>
        <w:widowControl/>
        <w:jc w:val="left"/>
        <w:rPr>
          <w:rFonts w:ascii="黑体" w:hAnsi="黑体" w:eastAsia="黑体" w:cs="宋体"/>
          <w:color w:val="000000"/>
          <w:kern w:val="0"/>
          <w:sz w:val="24"/>
        </w:rPr>
      </w:pPr>
      <w:r>
        <w:rPr>
          <w:rFonts w:ascii="宋体" w:hAnsi="宋体" w:cs="宋体"/>
          <w:color w:val="000000"/>
          <w:kern w:val="0"/>
          <w:sz w:val="24"/>
        </w:rPr>
        <w:br w:type="page"/>
      </w:r>
      <w:r>
        <w:rPr>
          <w:rFonts w:ascii="黑体" w:hAnsi="黑体" w:eastAsia="黑体" w:cs="宋体"/>
          <w:color w:val="000000"/>
          <w:kern w:val="0"/>
          <w:sz w:val="32"/>
        </w:rPr>
        <w:t>附</w:t>
      </w:r>
      <w:r>
        <w:rPr>
          <w:rFonts w:hint="eastAsia" w:ascii="黑体" w:hAnsi="黑体" w:eastAsia="黑体" w:cs="宋体"/>
          <w:color w:val="000000"/>
          <w:kern w:val="0"/>
          <w:sz w:val="32"/>
        </w:rPr>
        <w:t>表2</w:t>
      </w:r>
    </w:p>
    <w:p>
      <w:pPr>
        <w:widowControl/>
        <w:jc w:val="center"/>
        <w:rPr>
          <w:rFonts w:hint="eastAsia" w:ascii="方正小标宋简体" w:hAnsi="宋体" w:eastAsia="方正小标宋简体" w:cs="宋体"/>
          <w:color w:val="000000"/>
          <w:kern w:val="0"/>
          <w:sz w:val="44"/>
          <w:szCs w:val="28"/>
        </w:rPr>
      </w:pPr>
      <w:r>
        <w:rPr>
          <w:rFonts w:hint="eastAsia" w:ascii="方正小标宋简体" w:hAnsi="宋体" w:eastAsia="方正小标宋简体" w:cs="宋体"/>
          <w:color w:val="000000"/>
          <w:kern w:val="0"/>
          <w:sz w:val="44"/>
          <w:szCs w:val="28"/>
        </w:rPr>
        <w:t>医疗器械生产企业监督数据</w:t>
      </w:r>
    </w:p>
    <w:p>
      <w:pPr>
        <w:widowControl/>
        <w:jc w:val="left"/>
        <w:rPr>
          <w:rFonts w:ascii="宋体" w:hAnsi="宋体" w:cs="宋体"/>
          <w:color w:val="000000"/>
          <w:kern w:val="0"/>
          <w:sz w:val="24"/>
        </w:rPr>
      </w:pPr>
      <w:r>
        <w:rPr>
          <w:rFonts w:ascii="宋体" w:hAnsi="宋体" w:cs="宋体"/>
          <w:color w:val="000000"/>
          <w:kern w:val="0"/>
          <w:sz w:val="24"/>
        </w:rPr>
        <w:t>填报单位（盖章）：               填报</w:t>
      </w:r>
      <w:r>
        <w:rPr>
          <w:rFonts w:hint="eastAsia" w:ascii="宋体" w:hAnsi="宋体" w:cs="宋体"/>
          <w:color w:val="000000"/>
          <w:kern w:val="0"/>
          <w:sz w:val="24"/>
        </w:rPr>
        <w:t>人：</w:t>
      </w:r>
      <w:r>
        <w:rPr>
          <w:rFonts w:ascii="宋体" w:hAnsi="宋体" w:cs="宋体"/>
          <w:color w:val="000000"/>
          <w:kern w:val="0"/>
          <w:sz w:val="24"/>
        </w:rPr>
        <w:t>            填报日期</w:t>
      </w:r>
      <w:r>
        <w:rPr>
          <w:rFonts w:hint="eastAsia" w:ascii="宋体" w:hAnsi="宋体" w:cs="宋体"/>
          <w:color w:val="000000"/>
          <w:kern w:val="0"/>
          <w:sz w:val="24"/>
        </w:rPr>
        <w:t>：</w:t>
      </w:r>
    </w:p>
    <w:tbl>
      <w:tblPr>
        <w:tblStyle w:val="8"/>
        <w:tblW w:w="14174" w:type="dxa"/>
        <w:tblInd w:w="0" w:type="dxa"/>
        <w:tblLayout w:type="fixed"/>
        <w:tblCellMar>
          <w:top w:w="0" w:type="dxa"/>
          <w:left w:w="0" w:type="dxa"/>
          <w:bottom w:w="0" w:type="dxa"/>
          <w:right w:w="0" w:type="dxa"/>
        </w:tblCellMar>
      </w:tblPr>
      <w:tblGrid>
        <w:gridCol w:w="1988"/>
        <w:gridCol w:w="2189"/>
        <w:gridCol w:w="2632"/>
        <w:gridCol w:w="2480"/>
        <w:gridCol w:w="2013"/>
        <w:gridCol w:w="1551"/>
        <w:gridCol w:w="1321"/>
      </w:tblGrid>
      <w:tr>
        <w:tblPrEx>
          <w:tblLayout w:type="fixed"/>
          <w:tblCellMar>
            <w:top w:w="0" w:type="dxa"/>
            <w:left w:w="0" w:type="dxa"/>
            <w:bottom w:w="0" w:type="dxa"/>
            <w:right w:w="0" w:type="dxa"/>
          </w:tblCellMar>
        </w:tblPrEx>
        <w:tc>
          <w:tcPr>
            <w:tcW w:w="19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生产企业总数</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一类企业数</w:t>
            </w:r>
          </w:p>
        </w:tc>
        <w:tc>
          <w:tcPr>
            <w:tcW w:w="263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二类企业数</w:t>
            </w:r>
          </w:p>
        </w:tc>
        <w:tc>
          <w:tcPr>
            <w:tcW w:w="24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三类企业数</w:t>
            </w:r>
          </w:p>
        </w:tc>
        <w:tc>
          <w:tcPr>
            <w:tcW w:w="20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新增</w:t>
            </w:r>
          </w:p>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生产企业</w:t>
            </w:r>
          </w:p>
        </w:tc>
        <w:tc>
          <w:tcPr>
            <w:tcW w:w="2872"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变更</w:t>
            </w:r>
          </w:p>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生产企业</w:t>
            </w:r>
          </w:p>
        </w:tc>
      </w:tr>
      <w:tr>
        <w:tblPrEx>
          <w:tblLayout w:type="fixed"/>
          <w:tblCellMar>
            <w:top w:w="0" w:type="dxa"/>
            <w:left w:w="0" w:type="dxa"/>
            <w:bottom w:w="0" w:type="dxa"/>
            <w:right w:w="0" w:type="dxa"/>
          </w:tblCellMar>
        </w:tblPrEx>
        <w:trPr>
          <w:trHeight w:val="992" w:hRule="atLeast"/>
        </w:trPr>
        <w:tc>
          <w:tcPr>
            <w:tcW w:w="198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rPr>
                <w:rFonts w:ascii="宋体" w:hAnsi="宋体" w:cs="宋体"/>
                <w:color w:val="000000"/>
                <w:kern w:val="0"/>
                <w:sz w:val="24"/>
              </w:rPr>
            </w:pPr>
            <w:r>
              <w:rPr>
                <w:rFonts w:ascii="宋体" w:hAnsi="宋体" w:cs="宋体"/>
                <w:color w:val="000000"/>
                <w:kern w:val="0"/>
                <w:sz w:val="24"/>
              </w:rPr>
              <w:t> </w:t>
            </w:r>
          </w:p>
        </w:tc>
        <w:tc>
          <w:tcPr>
            <w:tcW w:w="218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63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4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0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87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r>
      <w:tr>
        <w:tblPrEx>
          <w:tblLayout w:type="fixed"/>
          <w:tblCellMar>
            <w:top w:w="0" w:type="dxa"/>
            <w:left w:w="0" w:type="dxa"/>
            <w:bottom w:w="0" w:type="dxa"/>
            <w:right w:w="0" w:type="dxa"/>
          </w:tblCellMar>
        </w:tblPrEx>
        <w:tc>
          <w:tcPr>
            <w:tcW w:w="1988" w:type="dxa"/>
            <w:vMerge w:val="restart"/>
            <w:tcBorders>
              <w:top w:val="nil"/>
              <w:left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hint="eastAsia" w:ascii="宋体" w:hAnsi="宋体" w:cs="宋体"/>
                <w:b/>
                <w:color w:val="000000"/>
                <w:kern w:val="0"/>
                <w:sz w:val="24"/>
              </w:rPr>
              <w:t>生产</w:t>
            </w:r>
            <w:r>
              <w:rPr>
                <w:rFonts w:ascii="宋体" w:hAnsi="宋体" w:cs="宋体"/>
                <w:b/>
                <w:color w:val="000000"/>
                <w:kern w:val="0"/>
                <w:sz w:val="24"/>
              </w:rPr>
              <w:t>重点监管</w:t>
            </w:r>
            <w:r>
              <w:rPr>
                <w:rFonts w:hint="eastAsia" w:ascii="宋体" w:hAnsi="宋体" w:cs="宋体"/>
                <w:b/>
                <w:color w:val="000000"/>
                <w:kern w:val="0"/>
                <w:sz w:val="24"/>
              </w:rPr>
              <w:t>医疗器械产品</w:t>
            </w:r>
            <w:r>
              <w:rPr>
                <w:rFonts w:ascii="宋体" w:hAnsi="宋体" w:cs="宋体"/>
                <w:b/>
                <w:color w:val="000000"/>
                <w:kern w:val="0"/>
                <w:sz w:val="24"/>
              </w:rPr>
              <w:t>企业总数</w:t>
            </w:r>
          </w:p>
        </w:tc>
        <w:tc>
          <w:tcPr>
            <w:tcW w:w="2189" w:type="dxa"/>
            <w:vMerge w:val="restart"/>
            <w:tcBorders>
              <w:top w:val="nil"/>
              <w:left w:val="nil"/>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hint="eastAsia" w:ascii="宋体" w:hAnsi="宋体" w:cs="宋体"/>
                <w:b/>
                <w:color w:val="000000"/>
                <w:kern w:val="0"/>
                <w:sz w:val="24"/>
              </w:rPr>
              <w:t>生产</w:t>
            </w:r>
            <w:r>
              <w:rPr>
                <w:rFonts w:ascii="宋体" w:hAnsi="宋体" w:cs="宋体"/>
                <w:b/>
                <w:color w:val="000000"/>
                <w:kern w:val="0"/>
                <w:sz w:val="24"/>
              </w:rPr>
              <w:t>国家重点监管</w:t>
            </w:r>
            <w:r>
              <w:rPr>
                <w:rFonts w:hint="eastAsia" w:ascii="宋体" w:hAnsi="宋体" w:cs="宋体"/>
                <w:b/>
                <w:color w:val="000000"/>
                <w:kern w:val="0"/>
                <w:sz w:val="24"/>
              </w:rPr>
              <w:t>医疗器械产品</w:t>
            </w:r>
            <w:r>
              <w:rPr>
                <w:rFonts w:ascii="宋体" w:hAnsi="宋体" w:cs="宋体"/>
                <w:b/>
                <w:color w:val="000000"/>
                <w:kern w:val="0"/>
                <w:sz w:val="24"/>
              </w:rPr>
              <w:t>企业数</w:t>
            </w:r>
          </w:p>
        </w:tc>
        <w:tc>
          <w:tcPr>
            <w:tcW w:w="2632" w:type="dxa"/>
            <w:vMerge w:val="restart"/>
            <w:tcBorders>
              <w:top w:val="nil"/>
              <w:left w:val="nil"/>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检查国家重点监管</w:t>
            </w:r>
            <w:r>
              <w:rPr>
                <w:rFonts w:hint="eastAsia" w:ascii="宋体" w:hAnsi="宋体" w:cs="宋体"/>
                <w:b/>
                <w:color w:val="000000"/>
                <w:kern w:val="0"/>
                <w:sz w:val="24"/>
              </w:rPr>
              <w:t>医疗器械产品生产</w:t>
            </w:r>
            <w:r>
              <w:rPr>
                <w:rFonts w:ascii="宋体" w:hAnsi="宋体" w:cs="宋体"/>
                <w:b/>
                <w:color w:val="000000"/>
                <w:kern w:val="0"/>
                <w:sz w:val="24"/>
              </w:rPr>
              <w:t>企业家次</w:t>
            </w:r>
          </w:p>
        </w:tc>
        <w:tc>
          <w:tcPr>
            <w:tcW w:w="2480" w:type="dxa"/>
            <w:vMerge w:val="restart"/>
            <w:tcBorders>
              <w:top w:val="nil"/>
              <w:left w:val="nil"/>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hint="eastAsia" w:ascii="宋体" w:hAnsi="宋体" w:cs="宋体"/>
                <w:b/>
                <w:color w:val="000000"/>
                <w:kern w:val="0"/>
                <w:sz w:val="24"/>
              </w:rPr>
              <w:t>生产市</w:t>
            </w:r>
            <w:r>
              <w:rPr>
                <w:rFonts w:ascii="宋体" w:hAnsi="宋体" w:cs="宋体"/>
                <w:b/>
                <w:color w:val="000000"/>
                <w:kern w:val="0"/>
                <w:sz w:val="24"/>
              </w:rPr>
              <w:t>重点监管</w:t>
            </w:r>
            <w:r>
              <w:rPr>
                <w:rFonts w:hint="eastAsia" w:ascii="宋体" w:hAnsi="宋体" w:cs="宋体"/>
                <w:b/>
                <w:color w:val="000000"/>
                <w:kern w:val="0"/>
                <w:sz w:val="24"/>
              </w:rPr>
              <w:t>医疗器械产品</w:t>
            </w:r>
            <w:r>
              <w:rPr>
                <w:rFonts w:ascii="宋体" w:hAnsi="宋体" w:cs="宋体"/>
                <w:b/>
                <w:color w:val="000000"/>
                <w:kern w:val="0"/>
                <w:sz w:val="24"/>
              </w:rPr>
              <w:t>企业数（非国家重点部分）</w:t>
            </w:r>
          </w:p>
        </w:tc>
        <w:tc>
          <w:tcPr>
            <w:tcW w:w="2013" w:type="dxa"/>
            <w:vMerge w:val="restart"/>
            <w:tcBorders>
              <w:top w:val="nil"/>
              <w:left w:val="nil"/>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检查</w:t>
            </w:r>
            <w:r>
              <w:rPr>
                <w:rFonts w:hint="eastAsia" w:ascii="宋体" w:hAnsi="宋体" w:cs="宋体"/>
                <w:b/>
                <w:color w:val="000000"/>
                <w:kern w:val="0"/>
                <w:sz w:val="24"/>
              </w:rPr>
              <w:t>市</w:t>
            </w:r>
            <w:r>
              <w:rPr>
                <w:rFonts w:ascii="宋体" w:hAnsi="宋体" w:cs="宋体"/>
                <w:b/>
                <w:color w:val="000000"/>
                <w:kern w:val="0"/>
                <w:sz w:val="24"/>
              </w:rPr>
              <w:t>重点监管</w:t>
            </w:r>
            <w:r>
              <w:rPr>
                <w:rFonts w:hint="eastAsia" w:ascii="宋体" w:hAnsi="宋体" w:cs="宋体"/>
                <w:b/>
                <w:color w:val="000000"/>
                <w:kern w:val="0"/>
                <w:sz w:val="24"/>
              </w:rPr>
              <w:t>医疗器械产品生产</w:t>
            </w:r>
            <w:r>
              <w:rPr>
                <w:rFonts w:ascii="宋体" w:hAnsi="宋体" w:cs="宋体"/>
                <w:b/>
                <w:color w:val="000000"/>
                <w:kern w:val="0"/>
                <w:sz w:val="24"/>
              </w:rPr>
              <w:t>企业家次</w:t>
            </w:r>
          </w:p>
        </w:tc>
        <w:tc>
          <w:tcPr>
            <w:tcW w:w="287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 w:val="24"/>
              </w:rPr>
            </w:pPr>
            <w:r>
              <w:rPr>
                <w:rFonts w:ascii="宋体" w:hAnsi="宋体" w:cs="宋体"/>
                <w:b/>
                <w:color w:val="000000"/>
                <w:kern w:val="0"/>
                <w:sz w:val="24"/>
              </w:rPr>
              <w:t>检查生产企业家次</w:t>
            </w:r>
          </w:p>
        </w:tc>
      </w:tr>
      <w:tr>
        <w:tblPrEx>
          <w:tblLayout w:type="fixed"/>
          <w:tblCellMar>
            <w:top w:w="0" w:type="dxa"/>
            <w:left w:w="0" w:type="dxa"/>
            <w:bottom w:w="0" w:type="dxa"/>
            <w:right w:w="0" w:type="dxa"/>
          </w:tblCellMar>
        </w:tblPrEx>
        <w:tc>
          <w:tcPr>
            <w:tcW w:w="1988" w:type="dxa"/>
            <w:vMerge w:val="continue"/>
            <w:tcBorders>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 w:val="24"/>
              </w:rPr>
            </w:pPr>
          </w:p>
        </w:tc>
        <w:tc>
          <w:tcPr>
            <w:tcW w:w="2189" w:type="dxa"/>
            <w:vMerge w:val="continue"/>
            <w:tcBorders>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 w:val="24"/>
              </w:rPr>
            </w:pPr>
          </w:p>
        </w:tc>
        <w:tc>
          <w:tcPr>
            <w:tcW w:w="2632" w:type="dxa"/>
            <w:vMerge w:val="continue"/>
            <w:tcBorders>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 w:val="24"/>
              </w:rPr>
            </w:pPr>
          </w:p>
        </w:tc>
        <w:tc>
          <w:tcPr>
            <w:tcW w:w="2480" w:type="dxa"/>
            <w:vMerge w:val="continue"/>
            <w:tcBorders>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 w:val="24"/>
              </w:rPr>
            </w:pPr>
          </w:p>
        </w:tc>
        <w:tc>
          <w:tcPr>
            <w:tcW w:w="2013" w:type="dxa"/>
            <w:vMerge w:val="continue"/>
            <w:tcBorders>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 w:val="24"/>
              </w:rPr>
            </w:pPr>
          </w:p>
        </w:tc>
        <w:tc>
          <w:tcPr>
            <w:tcW w:w="15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adjustRightInd w:val="0"/>
              <w:snapToGrid w:val="0"/>
              <w:jc w:val="left"/>
              <w:rPr>
                <w:rFonts w:ascii="宋体" w:hAnsi="宋体" w:cs="宋体"/>
                <w:color w:val="000000"/>
                <w:kern w:val="0"/>
                <w:sz w:val="24"/>
              </w:rPr>
            </w:pPr>
            <w:r>
              <w:rPr>
                <w:rFonts w:hint="eastAsia" w:ascii="宋体" w:hAnsi="宋体" w:cs="宋体"/>
                <w:color w:val="000000"/>
                <w:kern w:val="0"/>
                <w:sz w:val="24"/>
              </w:rPr>
              <w:t>二三类企业</w:t>
            </w:r>
          </w:p>
        </w:tc>
        <w:tc>
          <w:tcPr>
            <w:tcW w:w="1321" w:type="dxa"/>
            <w:tcBorders>
              <w:top w:val="single" w:color="auto" w:sz="8" w:space="0"/>
              <w:left w:val="nil"/>
              <w:bottom w:val="single" w:color="auto" w:sz="8" w:space="0"/>
              <w:right w:val="single" w:color="auto" w:sz="8" w:space="0"/>
            </w:tcBorders>
            <w:shd w:val="clear" w:color="auto" w:fill="auto"/>
            <w:vAlign w:val="center"/>
          </w:tcPr>
          <w:p>
            <w:pPr>
              <w:adjustRightInd w:val="0"/>
              <w:snapToGrid w:val="0"/>
              <w:jc w:val="center"/>
              <w:rPr>
                <w:rFonts w:ascii="宋体" w:hAnsi="宋体" w:cs="宋体"/>
                <w:color w:val="000000"/>
                <w:kern w:val="0"/>
                <w:sz w:val="24"/>
              </w:rPr>
            </w:pPr>
            <w:r>
              <w:rPr>
                <w:rFonts w:hint="eastAsia" w:ascii="宋体" w:hAnsi="宋体" w:cs="宋体"/>
                <w:color w:val="000000"/>
                <w:kern w:val="0"/>
                <w:sz w:val="24"/>
              </w:rPr>
              <w:t>一类企业</w:t>
            </w:r>
          </w:p>
        </w:tc>
      </w:tr>
      <w:tr>
        <w:tblPrEx>
          <w:tblLayout w:type="fixed"/>
          <w:tblCellMar>
            <w:top w:w="0" w:type="dxa"/>
            <w:left w:w="0" w:type="dxa"/>
            <w:bottom w:w="0" w:type="dxa"/>
            <w:right w:w="0" w:type="dxa"/>
          </w:tblCellMar>
        </w:tblPrEx>
        <w:trPr>
          <w:trHeight w:val="1147" w:hRule="atLeast"/>
        </w:trPr>
        <w:tc>
          <w:tcPr>
            <w:tcW w:w="198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1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63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48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201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r>
              <w:rPr>
                <w:rFonts w:ascii="宋体" w:hAnsi="宋体" w:cs="宋体"/>
                <w:color w:val="000000"/>
                <w:kern w:val="0"/>
                <w:sz w:val="24"/>
              </w:rPr>
              <w:t> </w:t>
            </w:r>
          </w:p>
        </w:tc>
        <w:tc>
          <w:tcPr>
            <w:tcW w:w="15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adjustRightInd w:val="0"/>
              <w:snapToGrid w:val="0"/>
              <w:jc w:val="left"/>
              <w:rPr>
                <w:rFonts w:ascii="宋体" w:hAnsi="宋体" w:cs="宋体"/>
                <w:color w:val="000000"/>
                <w:kern w:val="0"/>
                <w:sz w:val="24"/>
              </w:rPr>
            </w:pPr>
          </w:p>
        </w:tc>
        <w:tc>
          <w:tcPr>
            <w:tcW w:w="1321" w:type="dxa"/>
            <w:tcBorders>
              <w:top w:val="single" w:color="auto" w:sz="8" w:space="0"/>
              <w:left w:val="nil"/>
              <w:bottom w:val="single" w:color="auto" w:sz="8" w:space="0"/>
              <w:right w:val="single" w:color="auto" w:sz="8" w:space="0"/>
            </w:tcBorders>
            <w:shd w:val="clear" w:color="auto" w:fill="auto"/>
            <w:vAlign w:val="center"/>
          </w:tcPr>
          <w:p>
            <w:pPr>
              <w:widowControl/>
              <w:adjustRightInd w:val="0"/>
              <w:snapToGrid w:val="0"/>
              <w:jc w:val="left"/>
              <w:rPr>
                <w:rFonts w:ascii="宋体" w:hAnsi="宋体" w:cs="宋体"/>
                <w:color w:val="000000"/>
                <w:kern w:val="0"/>
                <w:sz w:val="24"/>
              </w:rPr>
            </w:pPr>
          </w:p>
        </w:tc>
      </w:tr>
    </w:tbl>
    <w:p>
      <w:pPr>
        <w:spacing w:line="560" w:lineRule="exact"/>
        <w:rPr>
          <w:rFonts w:hint="eastAsia" w:ascii="仿宋_GB2312" w:hAnsi="宋体"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widowControl/>
        <w:spacing w:before="100" w:beforeAutospacing="1"/>
        <w:jc w:val="left"/>
        <w:rPr>
          <w:rFonts w:ascii="黑体" w:hAnsi="黑体" w:eastAsia="黑体" w:cs="宋体"/>
          <w:color w:val="000000"/>
          <w:kern w:val="0"/>
          <w:sz w:val="24"/>
        </w:rPr>
      </w:pPr>
      <w:r>
        <w:rPr>
          <w:rFonts w:ascii="宋体" w:hAnsi="宋体" w:cs="宋体"/>
          <w:color w:val="000000"/>
          <w:kern w:val="0"/>
          <w:sz w:val="24"/>
        </w:rPr>
        <w:br w:type="page"/>
      </w:r>
      <w:r>
        <w:rPr>
          <w:rFonts w:hint="eastAsia" w:ascii="黑体" w:hAnsi="黑体" w:eastAsia="黑体" w:cs="宋体"/>
          <w:color w:val="000000"/>
          <w:kern w:val="0"/>
          <w:sz w:val="32"/>
        </w:rPr>
        <w:t>附表3</w:t>
      </w:r>
    </w:p>
    <w:p>
      <w:pPr>
        <w:widowControl/>
        <w:jc w:val="center"/>
        <w:rPr>
          <w:rFonts w:hint="eastAsia" w:ascii="方正小标宋简体" w:hAnsi="宋体" w:eastAsia="方正小标宋简体" w:cs="宋体"/>
          <w:color w:val="000000"/>
          <w:kern w:val="0"/>
          <w:sz w:val="44"/>
          <w:szCs w:val="28"/>
        </w:rPr>
      </w:pPr>
      <w:r>
        <w:rPr>
          <w:rFonts w:hint="eastAsia" w:ascii="方正小标宋简体" w:hAnsi="宋体" w:eastAsia="方正小标宋简体" w:cs="宋体"/>
          <w:color w:val="000000"/>
          <w:kern w:val="0"/>
          <w:sz w:val="44"/>
          <w:szCs w:val="28"/>
        </w:rPr>
        <w:t>医疗器械生产企业监督检查情况汇总表</w:t>
      </w:r>
    </w:p>
    <w:p>
      <w:pPr>
        <w:widowControl/>
        <w:jc w:val="left"/>
      </w:pPr>
      <w:r>
        <w:rPr>
          <w:rFonts w:ascii="宋体" w:hAnsi="宋体" w:cs="宋体"/>
          <w:color w:val="000000"/>
          <w:kern w:val="0"/>
          <w:sz w:val="24"/>
        </w:rPr>
        <w:t>填报单位（盖章）：          </w:t>
      </w:r>
      <w:r>
        <w:rPr>
          <w:rFonts w:hint="eastAsia" w:ascii="宋体" w:hAnsi="宋体" w:cs="宋体"/>
          <w:color w:val="000000"/>
          <w:kern w:val="0"/>
          <w:sz w:val="24"/>
        </w:rPr>
        <w:t xml:space="preserve">     </w:t>
      </w:r>
      <w:r>
        <w:rPr>
          <w:rFonts w:ascii="宋体" w:hAnsi="宋体" w:cs="宋体"/>
          <w:color w:val="000000"/>
          <w:kern w:val="0"/>
          <w:sz w:val="24"/>
        </w:rPr>
        <w:t>填报人：   </w:t>
      </w:r>
      <w:r>
        <w:rPr>
          <w:rFonts w:hint="eastAsia" w:ascii="宋体" w:hAnsi="宋体" w:cs="宋体"/>
          <w:color w:val="000000"/>
          <w:kern w:val="0"/>
          <w:sz w:val="24"/>
        </w:rPr>
        <w:t xml:space="preserve">                       </w:t>
      </w:r>
      <w:r>
        <w:rPr>
          <w:rFonts w:ascii="宋体" w:hAnsi="宋体" w:cs="宋体"/>
          <w:color w:val="000000"/>
          <w:kern w:val="0"/>
          <w:sz w:val="24"/>
        </w:rPr>
        <w:t>填报日期</w:t>
      </w:r>
      <w:r>
        <w:rPr>
          <w:rFonts w:hint="eastAsia" w:ascii="宋体" w:hAnsi="宋体" w:cs="宋体"/>
          <w:color w:val="000000"/>
          <w:kern w:val="0"/>
          <w:sz w:val="24"/>
        </w:rPr>
        <w:t>：       </w:t>
      </w:r>
    </w:p>
    <w:tbl>
      <w:tblPr>
        <w:tblStyle w:val="8"/>
        <w:tblW w:w="14076" w:type="dxa"/>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20"/>
        <w:gridCol w:w="1604"/>
        <w:gridCol w:w="1784"/>
        <w:gridCol w:w="1919"/>
        <w:gridCol w:w="1064"/>
        <w:gridCol w:w="1630"/>
        <w:gridCol w:w="1965"/>
        <w:gridCol w:w="1965"/>
        <w:gridCol w:w="142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33" w:hRule="atLeast"/>
        </w:trPr>
        <w:tc>
          <w:tcPr>
            <w:tcW w:w="720" w:type="dxa"/>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序号</w:t>
            </w:r>
          </w:p>
        </w:tc>
        <w:tc>
          <w:tcPr>
            <w:tcW w:w="1604" w:type="dxa"/>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监督检查部门</w:t>
            </w:r>
          </w:p>
        </w:tc>
        <w:tc>
          <w:tcPr>
            <w:tcW w:w="1784" w:type="dxa"/>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受检企业</w:t>
            </w:r>
          </w:p>
        </w:tc>
        <w:tc>
          <w:tcPr>
            <w:tcW w:w="1919" w:type="dxa"/>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企业类型</w:t>
            </w:r>
          </w:p>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(Ⅰ类、Ⅱ类、Ⅲ类)</w:t>
            </w:r>
          </w:p>
        </w:tc>
        <w:tc>
          <w:tcPr>
            <w:tcW w:w="1064" w:type="dxa"/>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主要产品</w:t>
            </w:r>
          </w:p>
        </w:tc>
        <w:tc>
          <w:tcPr>
            <w:tcW w:w="1630" w:type="dxa"/>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检查日期</w:t>
            </w: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主要问题</w:t>
            </w: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处理意见</w:t>
            </w:r>
          </w:p>
        </w:tc>
        <w:tc>
          <w:tcPr>
            <w:tcW w:w="1425" w:type="dxa"/>
            <w:tcMar>
              <w:top w:w="0" w:type="dxa"/>
              <w:left w:w="108" w:type="dxa"/>
              <w:bottom w:w="0" w:type="dxa"/>
              <w:right w:w="108" w:type="dxa"/>
            </w:tcMar>
            <w:vAlign w:val="center"/>
          </w:tcPr>
          <w:p>
            <w:pPr>
              <w:widowControl/>
              <w:adjustRightInd w:val="0"/>
              <w:snapToGrid w:val="0"/>
              <w:jc w:val="center"/>
              <w:rPr>
                <w:rFonts w:ascii="宋体" w:hAnsi="宋体" w:cs="宋体"/>
                <w:b/>
                <w:color w:val="000000"/>
                <w:kern w:val="0"/>
                <w:szCs w:val="21"/>
              </w:rPr>
            </w:pPr>
            <w:r>
              <w:rPr>
                <w:rFonts w:hint="eastAsia" w:ascii="宋体" w:hAnsi="宋体" w:cs="宋体"/>
                <w:b/>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20" w:hRule="atLeast"/>
        </w:trPr>
        <w:tc>
          <w:tcPr>
            <w:tcW w:w="720" w:type="dxa"/>
            <w:vAlign w:val="center"/>
          </w:tcPr>
          <w:p>
            <w:pPr>
              <w:widowControl/>
              <w:adjustRightInd w:val="0"/>
              <w:snapToGrid w:val="0"/>
              <w:jc w:val="center"/>
              <w:rPr>
                <w:rFonts w:ascii="宋体" w:hAnsi="宋体" w:cs="宋体"/>
                <w:color w:val="000000"/>
                <w:kern w:val="0"/>
                <w:szCs w:val="21"/>
              </w:rPr>
            </w:pPr>
            <w:r>
              <w:rPr>
                <w:rFonts w:ascii="宋体" w:hAnsi="宋体" w:cs="宋体"/>
                <w:color w:val="000000"/>
                <w:kern w:val="0"/>
                <w:szCs w:val="21"/>
              </w:rPr>
              <w:t>1</w:t>
            </w:r>
          </w:p>
        </w:tc>
        <w:tc>
          <w:tcPr>
            <w:tcW w:w="1604" w:type="dxa"/>
            <w:vAlign w:val="center"/>
          </w:tcPr>
          <w:p>
            <w:pPr>
              <w:widowControl/>
              <w:adjustRightInd w:val="0"/>
              <w:snapToGrid w:val="0"/>
              <w:jc w:val="center"/>
              <w:rPr>
                <w:rFonts w:ascii="宋体" w:hAnsi="宋体" w:cs="宋体"/>
                <w:color w:val="000000"/>
                <w:kern w:val="0"/>
                <w:szCs w:val="21"/>
              </w:rPr>
            </w:pPr>
          </w:p>
        </w:tc>
        <w:tc>
          <w:tcPr>
            <w:tcW w:w="1784" w:type="dxa"/>
            <w:vAlign w:val="center"/>
          </w:tcPr>
          <w:p>
            <w:pPr>
              <w:widowControl/>
              <w:adjustRightInd w:val="0"/>
              <w:snapToGrid w:val="0"/>
              <w:jc w:val="center"/>
              <w:rPr>
                <w:rFonts w:ascii="宋体" w:hAnsi="宋体" w:cs="宋体"/>
                <w:color w:val="000000"/>
                <w:kern w:val="0"/>
                <w:szCs w:val="21"/>
              </w:rPr>
            </w:pPr>
          </w:p>
        </w:tc>
        <w:tc>
          <w:tcPr>
            <w:tcW w:w="1919" w:type="dxa"/>
            <w:vAlign w:val="center"/>
          </w:tcPr>
          <w:p>
            <w:pPr>
              <w:widowControl/>
              <w:adjustRightInd w:val="0"/>
              <w:snapToGrid w:val="0"/>
              <w:jc w:val="center"/>
              <w:rPr>
                <w:rFonts w:ascii="宋体" w:hAnsi="宋体" w:cs="宋体"/>
                <w:color w:val="000000"/>
                <w:kern w:val="0"/>
                <w:szCs w:val="21"/>
              </w:rPr>
            </w:pPr>
          </w:p>
        </w:tc>
        <w:tc>
          <w:tcPr>
            <w:tcW w:w="1064" w:type="dxa"/>
            <w:vAlign w:val="center"/>
          </w:tcPr>
          <w:p>
            <w:pPr>
              <w:widowControl/>
              <w:adjustRightInd w:val="0"/>
              <w:snapToGrid w:val="0"/>
              <w:jc w:val="center"/>
              <w:rPr>
                <w:rFonts w:ascii="宋体" w:hAnsi="宋体" w:cs="宋体"/>
                <w:color w:val="000000"/>
                <w:kern w:val="0"/>
                <w:szCs w:val="21"/>
              </w:rPr>
            </w:pPr>
          </w:p>
        </w:tc>
        <w:tc>
          <w:tcPr>
            <w:tcW w:w="1630"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42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20" w:hRule="atLeast"/>
        </w:trPr>
        <w:tc>
          <w:tcPr>
            <w:tcW w:w="720" w:type="dxa"/>
            <w:vAlign w:val="center"/>
          </w:tcPr>
          <w:p>
            <w:pPr>
              <w:widowControl/>
              <w:adjustRightInd w:val="0"/>
              <w:snapToGrid w:val="0"/>
              <w:jc w:val="center"/>
              <w:rPr>
                <w:rFonts w:ascii="宋体" w:hAnsi="宋体" w:cs="宋体"/>
                <w:color w:val="000000"/>
                <w:kern w:val="0"/>
                <w:szCs w:val="21"/>
              </w:rPr>
            </w:pPr>
            <w:r>
              <w:rPr>
                <w:rFonts w:ascii="宋体" w:hAnsi="宋体" w:cs="宋体"/>
                <w:color w:val="000000"/>
                <w:kern w:val="0"/>
                <w:szCs w:val="21"/>
              </w:rPr>
              <w:t>2</w:t>
            </w:r>
          </w:p>
        </w:tc>
        <w:tc>
          <w:tcPr>
            <w:tcW w:w="1604" w:type="dxa"/>
            <w:vAlign w:val="center"/>
          </w:tcPr>
          <w:p>
            <w:pPr>
              <w:widowControl/>
              <w:adjustRightInd w:val="0"/>
              <w:snapToGrid w:val="0"/>
              <w:jc w:val="center"/>
              <w:rPr>
                <w:rFonts w:ascii="宋体" w:hAnsi="宋体" w:cs="宋体"/>
                <w:color w:val="000000"/>
                <w:kern w:val="0"/>
                <w:szCs w:val="21"/>
              </w:rPr>
            </w:pPr>
          </w:p>
        </w:tc>
        <w:tc>
          <w:tcPr>
            <w:tcW w:w="1784" w:type="dxa"/>
            <w:vAlign w:val="center"/>
          </w:tcPr>
          <w:p>
            <w:pPr>
              <w:widowControl/>
              <w:adjustRightInd w:val="0"/>
              <w:snapToGrid w:val="0"/>
              <w:jc w:val="center"/>
              <w:rPr>
                <w:rFonts w:ascii="宋体" w:hAnsi="宋体" w:cs="宋体"/>
                <w:color w:val="000000"/>
                <w:kern w:val="0"/>
                <w:szCs w:val="21"/>
              </w:rPr>
            </w:pPr>
          </w:p>
        </w:tc>
        <w:tc>
          <w:tcPr>
            <w:tcW w:w="1919" w:type="dxa"/>
            <w:vAlign w:val="center"/>
          </w:tcPr>
          <w:p>
            <w:pPr>
              <w:widowControl/>
              <w:adjustRightInd w:val="0"/>
              <w:snapToGrid w:val="0"/>
              <w:jc w:val="center"/>
              <w:rPr>
                <w:rFonts w:ascii="宋体" w:hAnsi="宋体" w:cs="宋体"/>
                <w:color w:val="000000"/>
                <w:kern w:val="0"/>
                <w:szCs w:val="21"/>
              </w:rPr>
            </w:pPr>
          </w:p>
        </w:tc>
        <w:tc>
          <w:tcPr>
            <w:tcW w:w="1064" w:type="dxa"/>
            <w:vAlign w:val="center"/>
          </w:tcPr>
          <w:p>
            <w:pPr>
              <w:widowControl/>
              <w:adjustRightInd w:val="0"/>
              <w:snapToGrid w:val="0"/>
              <w:jc w:val="center"/>
              <w:rPr>
                <w:rFonts w:ascii="宋体" w:hAnsi="宋体" w:cs="宋体"/>
                <w:color w:val="000000"/>
                <w:kern w:val="0"/>
                <w:szCs w:val="21"/>
              </w:rPr>
            </w:pPr>
          </w:p>
        </w:tc>
        <w:tc>
          <w:tcPr>
            <w:tcW w:w="1630"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42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20" w:hRule="atLeast"/>
        </w:trPr>
        <w:tc>
          <w:tcPr>
            <w:tcW w:w="720" w:type="dxa"/>
            <w:vAlign w:val="center"/>
          </w:tcPr>
          <w:p>
            <w:pPr>
              <w:widowControl/>
              <w:adjustRightInd w:val="0"/>
              <w:snapToGrid w:val="0"/>
              <w:jc w:val="center"/>
              <w:rPr>
                <w:rFonts w:ascii="宋体" w:hAnsi="宋体" w:cs="宋体"/>
                <w:color w:val="000000"/>
                <w:kern w:val="0"/>
                <w:szCs w:val="21"/>
              </w:rPr>
            </w:pPr>
            <w:r>
              <w:rPr>
                <w:rFonts w:ascii="宋体" w:hAnsi="宋体" w:cs="宋体"/>
                <w:color w:val="000000"/>
                <w:kern w:val="0"/>
                <w:szCs w:val="21"/>
              </w:rPr>
              <w:t>3</w:t>
            </w:r>
          </w:p>
        </w:tc>
        <w:tc>
          <w:tcPr>
            <w:tcW w:w="1604" w:type="dxa"/>
            <w:vAlign w:val="center"/>
          </w:tcPr>
          <w:p>
            <w:pPr>
              <w:widowControl/>
              <w:adjustRightInd w:val="0"/>
              <w:snapToGrid w:val="0"/>
              <w:jc w:val="center"/>
              <w:rPr>
                <w:rFonts w:ascii="宋体" w:hAnsi="宋体" w:cs="宋体"/>
                <w:color w:val="000000"/>
                <w:kern w:val="0"/>
                <w:szCs w:val="21"/>
              </w:rPr>
            </w:pPr>
          </w:p>
        </w:tc>
        <w:tc>
          <w:tcPr>
            <w:tcW w:w="1784" w:type="dxa"/>
            <w:vAlign w:val="center"/>
          </w:tcPr>
          <w:p>
            <w:pPr>
              <w:widowControl/>
              <w:adjustRightInd w:val="0"/>
              <w:snapToGrid w:val="0"/>
              <w:jc w:val="center"/>
              <w:rPr>
                <w:rFonts w:ascii="宋体" w:hAnsi="宋体" w:cs="宋体"/>
                <w:color w:val="000000"/>
                <w:kern w:val="0"/>
                <w:szCs w:val="21"/>
              </w:rPr>
            </w:pPr>
          </w:p>
        </w:tc>
        <w:tc>
          <w:tcPr>
            <w:tcW w:w="1919" w:type="dxa"/>
            <w:vAlign w:val="center"/>
          </w:tcPr>
          <w:p>
            <w:pPr>
              <w:widowControl/>
              <w:adjustRightInd w:val="0"/>
              <w:snapToGrid w:val="0"/>
              <w:jc w:val="center"/>
              <w:rPr>
                <w:rFonts w:ascii="宋体" w:hAnsi="宋体" w:cs="宋体"/>
                <w:color w:val="000000"/>
                <w:kern w:val="0"/>
                <w:szCs w:val="21"/>
              </w:rPr>
            </w:pPr>
          </w:p>
        </w:tc>
        <w:tc>
          <w:tcPr>
            <w:tcW w:w="1064" w:type="dxa"/>
            <w:vAlign w:val="center"/>
          </w:tcPr>
          <w:p>
            <w:pPr>
              <w:widowControl/>
              <w:adjustRightInd w:val="0"/>
              <w:snapToGrid w:val="0"/>
              <w:jc w:val="center"/>
              <w:rPr>
                <w:rFonts w:ascii="宋体" w:hAnsi="宋体" w:cs="宋体"/>
                <w:color w:val="000000"/>
                <w:kern w:val="0"/>
                <w:szCs w:val="21"/>
              </w:rPr>
            </w:pPr>
          </w:p>
        </w:tc>
        <w:tc>
          <w:tcPr>
            <w:tcW w:w="1630"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96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c>
          <w:tcPr>
            <w:tcW w:w="1425" w:type="dxa"/>
            <w:tcMar>
              <w:top w:w="0" w:type="dxa"/>
              <w:left w:w="108" w:type="dxa"/>
              <w:bottom w:w="0" w:type="dxa"/>
              <w:right w:w="108" w:type="dxa"/>
            </w:tcMar>
            <w:vAlign w:val="center"/>
          </w:tcPr>
          <w:p>
            <w:pPr>
              <w:widowControl/>
              <w:adjustRightInd w:val="0"/>
              <w:snapToGrid w:val="0"/>
              <w:jc w:val="center"/>
              <w:rPr>
                <w:rFonts w:ascii="宋体" w:hAnsi="宋体" w:cs="宋体"/>
                <w:color w:val="000000"/>
                <w:kern w:val="0"/>
                <w:szCs w:val="21"/>
              </w:rPr>
            </w:pPr>
          </w:p>
        </w:tc>
      </w:tr>
    </w:tbl>
    <w:p>
      <w:pPr>
        <w:spacing w:line="360" w:lineRule="exact"/>
        <w:ind w:left="1050" w:hanging="1050" w:hangingChars="500"/>
        <w:rPr>
          <w:rFonts w:hint="eastAsia"/>
          <w:szCs w:val="21"/>
        </w:rPr>
      </w:pPr>
    </w:p>
    <w:p>
      <w:pPr>
        <w:spacing w:line="360" w:lineRule="exact"/>
        <w:ind w:left="1050" w:hanging="1050" w:hangingChars="500"/>
        <w:rPr>
          <w:rFonts w:ascii="宋体" w:hAnsi="宋体" w:cs="宋体"/>
          <w:color w:val="000000"/>
          <w:kern w:val="0"/>
          <w:szCs w:val="21"/>
        </w:rPr>
      </w:pPr>
      <w:r>
        <w:rPr>
          <w:rFonts w:hint="eastAsia"/>
          <w:szCs w:val="21"/>
        </w:rPr>
        <w:t>填表说明：“</w:t>
      </w:r>
      <w:r>
        <w:rPr>
          <w:rFonts w:hint="eastAsia" w:ascii="宋体" w:hAnsi="宋体" w:cs="宋体"/>
          <w:color w:val="000000"/>
          <w:kern w:val="0"/>
          <w:szCs w:val="21"/>
        </w:rPr>
        <w:t>监督检查部门</w:t>
      </w:r>
      <w:r>
        <w:rPr>
          <w:rFonts w:hint="eastAsia"/>
          <w:szCs w:val="21"/>
        </w:rPr>
        <w:t>”</w:t>
      </w:r>
      <w:r>
        <w:rPr>
          <w:rFonts w:hint="eastAsia" w:ascii="宋体" w:hAnsi="宋体" w:cs="宋体"/>
          <w:color w:val="000000"/>
          <w:kern w:val="0"/>
          <w:szCs w:val="21"/>
        </w:rPr>
        <w:t>应为组织实施监督检查的单位；“受检企业”应填写企业全称；“主要产品”应填写本次监督检查所涉及的产品名称，不能填写企业的生产范围或产品的医疗器械分类名称、代号；“检查日期”的格式请统一按照如“2015.8.9”格式填写；“主要问题”应就检查发现企业存在的问题做概括性说明，把主要问题阐述清楚即可，不必完全按照监督检查文书内容填写；“处理意见”只需填写“限期整改”、“立即整改”或“立案处罚”，如已经完成整改，则应在备注中标明“完成整改”。</w:t>
      </w:r>
    </w:p>
    <w:p>
      <w:pPr>
        <w:snapToGrid w:val="0"/>
        <w:spacing w:line="460" w:lineRule="exact"/>
        <w:rPr>
          <w:rFonts w:ascii="仿宋_GB2312" w:hAnsi="仿宋_GB2312" w:eastAsia="仿宋_GB2312" w:cs="仿宋_GB2312"/>
          <w:sz w:val="32"/>
          <w:szCs w:val="32"/>
        </w:rPr>
      </w:pPr>
    </w:p>
    <w:p>
      <w:pPr>
        <w:spacing w:line="560" w:lineRule="exact"/>
        <w:rPr>
          <w:rFonts w:hint="eastAsia" w:ascii="仿宋_GB2312" w:eastAsia="仿宋_GB2312"/>
          <w:sz w:val="32"/>
          <w:szCs w:val="32"/>
        </w:rPr>
      </w:pPr>
    </w:p>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264" w:wrap="around" w:vAnchor="text" w:hAnchor="page" w:x="9186" w:y="1"/>
      <w:rPr>
        <w:rStyle w:val="6"/>
        <w:rFonts w:hint="eastAsia" w:ascii="仿宋_GB2312"/>
        <w:sz w:val="28"/>
        <w:szCs w:val="28"/>
      </w:rPr>
    </w:pPr>
    <w:r>
      <w:rPr>
        <w:rStyle w:val="6"/>
        <w:rFonts w:hint="eastAsia" w:ascii="仿宋_GB2312"/>
        <w:kern w:val="0"/>
        <w:sz w:val="28"/>
        <w:szCs w:val="28"/>
      </w:rPr>
      <w:t>—</w:t>
    </w:r>
    <w:r>
      <w:rPr>
        <w:rStyle w:val="6"/>
        <w:rFonts w:ascii="仿宋_GB2312"/>
        <w:kern w:val="0"/>
        <w:sz w:val="28"/>
        <w:szCs w:val="28"/>
      </w:rPr>
      <w:t xml:space="preserve"> </w:t>
    </w:r>
    <w:r>
      <w:rPr>
        <w:rFonts w:ascii="宋体" w:hAnsi="宋体"/>
        <w:kern w:val="0"/>
        <w:sz w:val="28"/>
        <w:szCs w:val="28"/>
      </w:rPr>
      <w:fldChar w:fldCharType="begin"/>
    </w:r>
    <w:r>
      <w:rPr>
        <w:rStyle w:val="6"/>
        <w:rFonts w:ascii="宋体" w:hAnsi="宋体"/>
        <w:kern w:val="0"/>
        <w:sz w:val="28"/>
        <w:szCs w:val="28"/>
      </w:rPr>
      <w:instrText xml:space="preserve"> PAGE </w:instrText>
    </w:r>
    <w:r>
      <w:rPr>
        <w:rFonts w:ascii="宋体" w:hAnsi="宋体"/>
        <w:kern w:val="0"/>
        <w:sz w:val="28"/>
        <w:szCs w:val="28"/>
      </w:rPr>
      <w:fldChar w:fldCharType="separate"/>
    </w:r>
    <w:r>
      <w:rPr>
        <w:rStyle w:val="6"/>
        <w:rFonts w:ascii="宋体" w:hAnsi="宋体"/>
        <w:kern w:val="0"/>
        <w:sz w:val="28"/>
        <w:szCs w:val="28"/>
      </w:rPr>
      <w:t>7</w:t>
    </w:r>
    <w:r>
      <w:rPr>
        <w:rFonts w:ascii="宋体" w:hAnsi="宋体"/>
        <w:kern w:val="0"/>
        <w:sz w:val="28"/>
        <w:szCs w:val="28"/>
      </w:rPr>
      <w:fldChar w:fldCharType="end"/>
    </w:r>
    <w:r>
      <w:rPr>
        <w:rStyle w:val="6"/>
        <w:rFonts w:ascii="宋体" w:hAnsi="宋体"/>
        <w:kern w:val="0"/>
        <w:sz w:val="28"/>
        <w:szCs w:val="28"/>
      </w:rPr>
      <w:t xml:space="preserve"> </w:t>
    </w:r>
    <w:r>
      <w:rPr>
        <w:rStyle w:val="6"/>
        <w:rFonts w:hint="eastAsia" w:ascii="仿宋_GB2312"/>
        <w:kern w:val="0"/>
        <w:sz w:val="28"/>
        <w:szCs w:val="28"/>
      </w:rPr>
      <w:t>—　</w:t>
    </w:r>
  </w:p>
  <w:p>
    <w:pPr>
      <w:pStyle w:val="3"/>
      <w:ind w:right="360" w:firstLine="360"/>
      <w:rPr>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651" w:wrap="around" w:vAnchor="text" w:hAnchor="margin" w:xAlign="outside" w:y="3"/>
      <w:ind w:right="140"/>
      <w:jc w:val="right"/>
      <w:rPr>
        <w:rStyle w:val="6"/>
        <w:rFonts w:hint="eastAsia" w:ascii="宋体" w:hAnsi="宋体"/>
        <w:sz w:val="28"/>
        <w:szCs w:val="28"/>
      </w:rPr>
    </w:pPr>
    <w:r>
      <w:rPr>
        <w:rStyle w:val="6"/>
        <w:rFonts w:hint="eastAsia" w:ascii="宋体" w:hAnsi="宋体"/>
        <w:sz w:val="28"/>
        <w:szCs w:val="28"/>
      </w:rPr>
      <w:t xml:space="preserve">　—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12</w:t>
    </w:r>
    <w:r>
      <w:rPr>
        <w:rFonts w:ascii="宋体" w:hAnsi="宋体"/>
        <w:sz w:val="28"/>
        <w:szCs w:val="28"/>
      </w:rPr>
      <w:fldChar w:fldCharType="end"/>
    </w:r>
    <w:r>
      <w:rPr>
        <w:rStyle w:val="6"/>
        <w:rFonts w:hint="eastAsia" w:ascii="宋体" w:hAnsi="宋体"/>
        <w:sz w:val="28"/>
        <w:szCs w:val="28"/>
      </w:rPr>
      <w:t xml:space="preserve"> —</w:t>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332E07"/>
    <w:rsid w:val="137931E5"/>
    <w:rsid w:val="3B5A13A5"/>
    <w:rsid w:val="572400DE"/>
    <w:rsid w:val="5D332E07"/>
    <w:rsid w:val="65064F69"/>
    <w:rsid w:val="7A886A8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6">
    <w:name w:val="page number"/>
    <w:qFormat/>
    <w:uiPriority w:val="0"/>
  </w:style>
  <w:style w:type="character" w:styleId="7">
    <w:name w:val="Hyperlink"/>
    <w:basedOn w:val="5"/>
    <w:qFormat/>
    <w:uiPriority w:val="0"/>
    <w:rPr>
      <w:rFonts w:ascii="微软雅黑" w:hAnsi="微软雅黑" w:eastAsia="微软雅黑" w:cs="微软雅黑"/>
      <w:color w:val="0000FF"/>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2016-12-06T02:58:00Z</dcterms:created>
  <dc:creator>WuKeping</dc:creator>
  <cp:lastModifiedBy>lenovo</cp:lastModifiedBy>
  <dcterms:modified xsi:type="dcterms:W3CDTF">2017-02-09T08:39:02Z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