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附2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E3E3E"/>
          <w:spacing w:val="0"/>
          <w:sz w:val="27"/>
          <w:szCs w:val="27"/>
          <w:bdr w:val="none" w:color="auto" w:sz="0" w:space="0"/>
          <w:shd w:val="clear" w:fill="FFFFFF"/>
        </w:rPr>
        <w:t>医疗器械审评沟通交流会议申请审批表</w:t>
      </w:r>
    </w:p>
    <w:bookmarkEnd w:id="0"/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2365" cy="5514340"/>
            <wp:effectExtent l="0" t="0" r="635" b="10160"/>
            <wp:docPr id="1" name="图片 1" descr="附件2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.web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2365" cy="551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3E3E3E"/>
          <w:spacing w:val="0"/>
          <w:sz w:val="24"/>
          <w:szCs w:val="24"/>
          <w:shd w:val="clear" w:fill="FFFFFF"/>
        </w:rPr>
        <w:t>注：提交审批时，需同时附上《医疗器械审评沟通交流申请表》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67737"/>
    <w:rsid w:val="0886773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2017-02-08T07:17:00Z</dcterms:created>
  <dc:creator>lenovo</dc:creator>
  <cp:lastModifiedBy>lenovo</cp:lastModifiedBy>
  <dcterms:modified xsi:type="dcterms:W3CDTF">2017-02-08T07:18:58Z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