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159"/>
        <w:jc w:val="both"/>
        <w:rPr>
          <w:rFonts w:hint="eastAsia" w:ascii="创艺简标宋" w:hAnsi="仿宋_GB2312" w:eastAsia="创艺简标宋" w:cs="仿宋_GB2312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创艺简标宋" w:hAnsi="仿宋_GB2312" w:eastAsia="创艺简标宋" w:cs="仿宋_GB2312"/>
          <w:sz w:val="30"/>
          <w:szCs w:val="30"/>
          <w:lang w:eastAsia="zh-CN"/>
        </w:rPr>
        <w:t>附件</w:t>
      </w:r>
      <w:r>
        <w:rPr>
          <w:rFonts w:hint="eastAsia" w:ascii="创艺简标宋" w:hAnsi="仿宋_GB2312" w:eastAsia="创艺简标宋" w:cs="仿宋_GB2312"/>
          <w:sz w:val="30"/>
          <w:szCs w:val="30"/>
          <w:lang w:val="en-US" w:eastAsia="zh-CN"/>
        </w:rPr>
        <w:t>2</w:t>
      </w:r>
    </w:p>
    <w:p>
      <w:pPr>
        <w:ind w:right="159"/>
        <w:jc w:val="center"/>
        <w:rPr>
          <w:rFonts w:hint="eastAsia" w:ascii="华文中宋" w:hAnsi="华文中宋" w:eastAsia="华文中宋" w:cs="华文中宋"/>
          <w:b w:val="0"/>
          <w:bCs w:val="0"/>
          <w:sz w:val="36"/>
          <w:szCs w:val="36"/>
        </w:rPr>
      </w:pPr>
      <w:r>
        <w:rPr>
          <w:rFonts w:hint="eastAsia" w:ascii="华文中宋" w:hAnsi="华文中宋" w:eastAsia="华文中宋" w:cs="华文中宋"/>
          <w:b w:val="0"/>
          <w:bCs w:val="0"/>
          <w:sz w:val="36"/>
          <w:szCs w:val="36"/>
        </w:rPr>
        <w:t>医疗器械经营企业</w:t>
      </w:r>
      <w:r>
        <w:rPr>
          <w:rFonts w:hint="eastAsia" w:ascii="华文中宋" w:hAnsi="华文中宋" w:eastAsia="华文中宋" w:cs="华文中宋"/>
          <w:b w:val="0"/>
          <w:bCs w:val="0"/>
          <w:sz w:val="36"/>
          <w:szCs w:val="36"/>
          <w:lang w:eastAsia="zh-CN"/>
        </w:rPr>
        <w:t>监督</w:t>
      </w:r>
      <w:r>
        <w:rPr>
          <w:rFonts w:hint="eastAsia" w:ascii="华文中宋" w:hAnsi="华文中宋" w:eastAsia="华文中宋" w:cs="华文中宋"/>
          <w:b w:val="0"/>
          <w:bCs w:val="0"/>
          <w:sz w:val="36"/>
          <w:szCs w:val="36"/>
        </w:rPr>
        <w:t>检查情况汇总表</w:t>
      </w:r>
    </w:p>
    <w:p>
      <w:pPr>
        <w:ind w:right="159"/>
        <w:jc w:val="center"/>
        <w:rPr>
          <w:rFonts w:hint="eastAsia" w:ascii="创艺简标宋" w:hAnsi="仿宋_GB2312" w:eastAsia="创艺简标宋" w:cs="仿宋_GB2312"/>
          <w:b/>
          <w:bCs/>
          <w:sz w:val="32"/>
          <w:szCs w:val="32"/>
        </w:rPr>
      </w:pP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市食品药品监督管理局 （盖章）                                          年   月    日</w:t>
      </w:r>
    </w:p>
    <w:tbl>
      <w:tblPr>
        <w:tblStyle w:val="6"/>
        <w:tblpPr w:leftFromText="180" w:rightFromText="180" w:vertAnchor="page" w:horzAnchor="page" w:tblpX="2199" w:tblpY="3642"/>
        <w:tblOverlap w:val="never"/>
        <w:tblW w:w="136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1005"/>
        <w:gridCol w:w="555"/>
        <w:gridCol w:w="705"/>
        <w:gridCol w:w="1215"/>
        <w:gridCol w:w="1290"/>
        <w:gridCol w:w="1020"/>
        <w:gridCol w:w="1035"/>
        <w:gridCol w:w="1305"/>
        <w:gridCol w:w="1020"/>
        <w:gridCol w:w="1005"/>
        <w:gridCol w:w="990"/>
        <w:gridCol w:w="1095"/>
        <w:gridCol w:w="6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70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新宋体" w:hAnsi="新宋体" w:eastAsia="新宋体" w:cs="新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24"/>
                <w:szCs w:val="24"/>
                <w:lang w:eastAsia="zh-CN"/>
              </w:rPr>
              <w:t>项</w:t>
            </w:r>
          </w:p>
          <w:p>
            <w:pPr>
              <w:spacing w:line="240" w:lineRule="auto"/>
              <w:jc w:val="center"/>
              <w:rPr>
                <w:rFonts w:hint="eastAsia" w:ascii="新宋体" w:hAnsi="新宋体" w:eastAsia="新宋体" w:cs="新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24"/>
                <w:szCs w:val="24"/>
                <w:lang w:eastAsia="zh-CN"/>
              </w:rPr>
              <w:t>目</w:t>
            </w:r>
          </w:p>
        </w:tc>
        <w:tc>
          <w:tcPr>
            <w:tcW w:w="1005" w:type="dxa"/>
            <w:vAlign w:val="top"/>
          </w:tcPr>
          <w:p>
            <w:pPr>
              <w:spacing w:line="240" w:lineRule="auto"/>
              <w:jc w:val="both"/>
              <w:rPr>
                <w:rFonts w:hint="eastAsia"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lang w:eastAsia="zh-CN"/>
              </w:rPr>
              <w:t>无菌</w:t>
            </w: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类经营企业</w:t>
            </w:r>
          </w:p>
        </w:tc>
        <w:tc>
          <w:tcPr>
            <w:tcW w:w="1260" w:type="dxa"/>
            <w:gridSpan w:val="2"/>
            <w:vAlign w:val="top"/>
          </w:tcPr>
          <w:p>
            <w:pPr>
              <w:spacing w:line="240" w:lineRule="auto"/>
              <w:jc w:val="both"/>
              <w:rPr>
                <w:rFonts w:hint="eastAsia" w:ascii="新宋体" w:hAnsi="新宋体" w:eastAsia="新宋体" w:cs="新宋体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植入、</w:t>
            </w:r>
            <w:r>
              <w:rPr>
                <w:rFonts w:hint="eastAsia" w:ascii="新宋体" w:hAnsi="新宋体" w:eastAsia="新宋体" w:cs="新宋体"/>
                <w:sz w:val="24"/>
                <w:szCs w:val="24"/>
                <w:lang w:eastAsia="zh-CN"/>
              </w:rPr>
              <w:t>人工器官</w:t>
            </w: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类经营企业</w:t>
            </w:r>
          </w:p>
        </w:tc>
        <w:tc>
          <w:tcPr>
            <w:tcW w:w="1215" w:type="dxa"/>
            <w:vAlign w:val="top"/>
          </w:tcPr>
          <w:p>
            <w:pPr>
              <w:spacing w:line="240" w:lineRule="auto"/>
              <w:jc w:val="both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体外诊断试剂类经营企业</w:t>
            </w:r>
          </w:p>
        </w:tc>
        <w:tc>
          <w:tcPr>
            <w:tcW w:w="1290" w:type="dxa"/>
            <w:vAlign w:val="top"/>
          </w:tcPr>
          <w:p>
            <w:pPr>
              <w:spacing w:line="240" w:lineRule="auto"/>
              <w:jc w:val="both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lang w:eastAsia="zh-CN"/>
              </w:rPr>
              <w:t>软性角膜接触镜</w:t>
            </w:r>
            <w:r>
              <w:rPr>
                <w:rFonts w:hint="eastAsia" w:ascii="新宋体" w:hAnsi="新宋体" w:eastAsia="新宋体" w:cs="新宋体"/>
                <w:sz w:val="24"/>
                <w:szCs w:val="24"/>
              </w:rPr>
              <w:t>经营企业</w:t>
            </w:r>
          </w:p>
        </w:tc>
        <w:tc>
          <w:tcPr>
            <w:tcW w:w="1020" w:type="dxa"/>
            <w:vAlign w:val="top"/>
          </w:tcPr>
          <w:p>
            <w:pPr>
              <w:spacing w:line="240" w:lineRule="auto"/>
              <w:jc w:val="both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设备仪器类经营企业</w:t>
            </w:r>
          </w:p>
        </w:tc>
        <w:tc>
          <w:tcPr>
            <w:tcW w:w="1035" w:type="dxa"/>
            <w:vAlign w:val="top"/>
          </w:tcPr>
          <w:p>
            <w:pPr>
              <w:spacing w:line="240" w:lineRule="auto"/>
              <w:jc w:val="both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计划生育类经营企业</w:t>
            </w:r>
          </w:p>
        </w:tc>
        <w:tc>
          <w:tcPr>
            <w:tcW w:w="1305" w:type="dxa"/>
            <w:vAlign w:val="top"/>
          </w:tcPr>
          <w:p>
            <w:pPr>
              <w:spacing w:line="240" w:lineRule="auto"/>
              <w:jc w:val="both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三级监管的其他经营企业</w:t>
            </w:r>
          </w:p>
        </w:tc>
        <w:tc>
          <w:tcPr>
            <w:tcW w:w="1020" w:type="dxa"/>
            <w:vAlign w:val="top"/>
          </w:tcPr>
          <w:p>
            <w:pPr>
              <w:spacing w:line="240" w:lineRule="auto"/>
              <w:jc w:val="both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二级监管经营企业</w:t>
            </w:r>
          </w:p>
        </w:tc>
        <w:tc>
          <w:tcPr>
            <w:tcW w:w="1005" w:type="dxa"/>
            <w:vAlign w:val="top"/>
          </w:tcPr>
          <w:p>
            <w:pPr>
              <w:spacing w:line="240" w:lineRule="auto"/>
              <w:jc w:val="both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一级监管经营企业</w:t>
            </w:r>
          </w:p>
        </w:tc>
        <w:tc>
          <w:tcPr>
            <w:tcW w:w="990" w:type="dxa"/>
            <w:vAlign w:val="top"/>
          </w:tcPr>
          <w:p>
            <w:pPr>
              <w:spacing w:line="240" w:lineRule="auto"/>
              <w:jc w:val="both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责令整改企业数</w:t>
            </w:r>
          </w:p>
        </w:tc>
        <w:tc>
          <w:tcPr>
            <w:tcW w:w="1095" w:type="dxa"/>
            <w:vAlign w:val="top"/>
          </w:tcPr>
          <w:p>
            <w:pPr>
              <w:spacing w:line="240" w:lineRule="auto"/>
              <w:jc w:val="both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查处违法违规企业数</w:t>
            </w:r>
          </w:p>
        </w:tc>
        <w:tc>
          <w:tcPr>
            <w:tcW w:w="660" w:type="dxa"/>
            <w:vAlign w:val="top"/>
          </w:tcPr>
          <w:p>
            <w:pPr>
              <w:spacing w:line="240" w:lineRule="auto"/>
              <w:jc w:val="both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备</w:t>
            </w: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0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检查数</w:t>
            </w:r>
          </w:p>
        </w:tc>
        <w:tc>
          <w:tcPr>
            <w:tcW w:w="1005" w:type="dxa"/>
            <w:vAlign w:val="top"/>
          </w:tcPr>
          <w:p>
            <w:pPr>
              <w:rPr>
                <w:vertAlign w:val="baseline"/>
              </w:rPr>
            </w:pPr>
          </w:p>
        </w:tc>
        <w:tc>
          <w:tcPr>
            <w:tcW w:w="1260" w:type="dxa"/>
            <w:gridSpan w:val="2"/>
            <w:vAlign w:val="top"/>
          </w:tcPr>
          <w:p>
            <w:pPr>
              <w:rPr>
                <w:vertAlign w:val="baseline"/>
              </w:rPr>
            </w:pPr>
          </w:p>
        </w:tc>
        <w:tc>
          <w:tcPr>
            <w:tcW w:w="1215" w:type="dxa"/>
            <w:vAlign w:val="top"/>
          </w:tcPr>
          <w:p>
            <w:pPr>
              <w:rPr>
                <w:vertAlign w:val="baseline"/>
              </w:rPr>
            </w:pPr>
          </w:p>
        </w:tc>
        <w:tc>
          <w:tcPr>
            <w:tcW w:w="1290" w:type="dxa"/>
            <w:vAlign w:val="top"/>
          </w:tcPr>
          <w:p>
            <w:pPr>
              <w:rPr>
                <w:vertAlign w:val="baseline"/>
              </w:rPr>
            </w:pPr>
          </w:p>
        </w:tc>
        <w:tc>
          <w:tcPr>
            <w:tcW w:w="1020" w:type="dxa"/>
            <w:vAlign w:val="top"/>
          </w:tcPr>
          <w:p>
            <w:pPr>
              <w:rPr>
                <w:vertAlign w:val="baseline"/>
              </w:rPr>
            </w:pPr>
          </w:p>
        </w:tc>
        <w:tc>
          <w:tcPr>
            <w:tcW w:w="1035" w:type="dxa"/>
            <w:vAlign w:val="top"/>
          </w:tcPr>
          <w:p>
            <w:pPr>
              <w:rPr>
                <w:vertAlign w:val="baseline"/>
              </w:rPr>
            </w:pPr>
          </w:p>
        </w:tc>
        <w:tc>
          <w:tcPr>
            <w:tcW w:w="1305" w:type="dxa"/>
            <w:vAlign w:val="top"/>
          </w:tcPr>
          <w:p>
            <w:pPr>
              <w:rPr>
                <w:vertAlign w:val="baseline"/>
              </w:rPr>
            </w:pPr>
          </w:p>
        </w:tc>
        <w:tc>
          <w:tcPr>
            <w:tcW w:w="1020" w:type="dxa"/>
            <w:vAlign w:val="top"/>
          </w:tcPr>
          <w:p>
            <w:pPr>
              <w:rPr>
                <w:vertAlign w:val="baseline"/>
              </w:rPr>
            </w:pPr>
          </w:p>
        </w:tc>
        <w:tc>
          <w:tcPr>
            <w:tcW w:w="1005" w:type="dxa"/>
            <w:vAlign w:val="top"/>
          </w:tcPr>
          <w:p>
            <w:pPr>
              <w:rPr>
                <w:vertAlign w:val="baseline"/>
              </w:rPr>
            </w:pPr>
          </w:p>
        </w:tc>
        <w:tc>
          <w:tcPr>
            <w:tcW w:w="990" w:type="dxa"/>
            <w:vAlign w:val="top"/>
          </w:tcPr>
          <w:p>
            <w:pPr>
              <w:rPr>
                <w:vertAlign w:val="baseline"/>
              </w:rPr>
            </w:pPr>
          </w:p>
        </w:tc>
        <w:tc>
          <w:tcPr>
            <w:tcW w:w="1095" w:type="dxa"/>
            <w:vAlign w:val="top"/>
          </w:tcPr>
          <w:p>
            <w:pPr>
              <w:rPr>
                <w:vertAlign w:val="baseline"/>
              </w:rPr>
            </w:pPr>
          </w:p>
        </w:tc>
        <w:tc>
          <w:tcPr>
            <w:tcW w:w="660" w:type="dxa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</w:trPr>
        <w:tc>
          <w:tcPr>
            <w:tcW w:w="700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复查数</w:t>
            </w:r>
          </w:p>
        </w:tc>
        <w:tc>
          <w:tcPr>
            <w:tcW w:w="1005" w:type="dxa"/>
            <w:vAlign w:val="top"/>
          </w:tcPr>
          <w:p/>
        </w:tc>
        <w:tc>
          <w:tcPr>
            <w:tcW w:w="1260" w:type="dxa"/>
            <w:gridSpan w:val="2"/>
            <w:vAlign w:val="top"/>
          </w:tcPr>
          <w:p/>
        </w:tc>
        <w:tc>
          <w:tcPr>
            <w:tcW w:w="1215" w:type="dxa"/>
            <w:vAlign w:val="top"/>
          </w:tcPr>
          <w:p/>
        </w:tc>
        <w:tc>
          <w:tcPr>
            <w:tcW w:w="1290" w:type="dxa"/>
            <w:vAlign w:val="top"/>
          </w:tcPr>
          <w:p/>
        </w:tc>
        <w:tc>
          <w:tcPr>
            <w:tcW w:w="1020" w:type="dxa"/>
            <w:vAlign w:val="top"/>
          </w:tcPr>
          <w:p/>
        </w:tc>
        <w:tc>
          <w:tcPr>
            <w:tcW w:w="1035" w:type="dxa"/>
            <w:vAlign w:val="top"/>
          </w:tcPr>
          <w:p/>
        </w:tc>
        <w:tc>
          <w:tcPr>
            <w:tcW w:w="1305" w:type="dxa"/>
            <w:vAlign w:val="top"/>
          </w:tcPr>
          <w:p/>
        </w:tc>
        <w:tc>
          <w:tcPr>
            <w:tcW w:w="1020" w:type="dxa"/>
            <w:vAlign w:val="top"/>
          </w:tcPr>
          <w:p/>
        </w:tc>
        <w:tc>
          <w:tcPr>
            <w:tcW w:w="1005" w:type="dxa"/>
            <w:vAlign w:val="top"/>
          </w:tcPr>
          <w:p/>
        </w:tc>
        <w:tc>
          <w:tcPr>
            <w:tcW w:w="990" w:type="dxa"/>
            <w:vAlign w:val="top"/>
          </w:tcPr>
          <w:p/>
        </w:tc>
        <w:tc>
          <w:tcPr>
            <w:tcW w:w="1095" w:type="dxa"/>
            <w:vAlign w:val="top"/>
          </w:tcPr>
          <w:p/>
        </w:tc>
        <w:tc>
          <w:tcPr>
            <w:tcW w:w="660" w:type="dxa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6" w:hRule="atLeast"/>
        </w:trPr>
        <w:tc>
          <w:tcPr>
            <w:tcW w:w="2260" w:type="dxa"/>
            <w:gridSpan w:val="3"/>
            <w:vAlign w:val="top"/>
          </w:tcPr>
          <w:p>
            <w:pPr>
              <w:spacing w:line="420" w:lineRule="exact"/>
              <w:jc w:val="center"/>
              <w:rPr>
                <w:rFonts w:hint="eastAsia" w:ascii="仿宋_GB2312"/>
                <w:kern w:val="0"/>
                <w:sz w:val="24"/>
                <w:szCs w:val="24"/>
              </w:rPr>
            </w:pPr>
            <w:r>
              <w:rPr>
                <w:rFonts w:hint="eastAsia" w:ascii="仿宋_GB2312"/>
                <w:kern w:val="0"/>
                <w:sz w:val="24"/>
                <w:szCs w:val="24"/>
              </w:rPr>
              <w:t>主要存在的问题</w:t>
            </w:r>
          </w:p>
          <w:p>
            <w:pPr>
              <w:rPr>
                <w:vertAlign w:val="baseline"/>
              </w:rPr>
            </w:pPr>
            <w:r>
              <w:rPr>
                <w:rFonts w:hint="eastAsia" w:ascii="仿宋_GB2312"/>
                <w:kern w:val="0"/>
                <w:sz w:val="24"/>
                <w:szCs w:val="24"/>
              </w:rPr>
              <w:t>（对照“检查重点内容”所发现的问题，可另附页）</w:t>
            </w:r>
          </w:p>
        </w:tc>
        <w:tc>
          <w:tcPr>
            <w:tcW w:w="11340" w:type="dxa"/>
            <w:gridSpan w:val="11"/>
            <w:vAlign w:val="top"/>
          </w:tcPr>
          <w:p>
            <w:pPr>
              <w:rPr>
                <w:vertAlign w:val="baseline"/>
              </w:rPr>
            </w:pPr>
          </w:p>
        </w:tc>
      </w:tr>
    </w:tbl>
    <w:p>
      <w:pPr>
        <w:ind w:right="159"/>
        <w:jc w:val="left"/>
        <w:rPr>
          <w:rFonts w:hint="eastAsia"/>
          <w:lang w:val="en-US" w:eastAsia="zh-CN"/>
        </w:rPr>
      </w:pPr>
      <w:r>
        <w:rPr>
          <w:rFonts w:hint="eastAsia" w:ascii="仿宋_GB2312" w:hAnsi="仿宋_GB2312" w:cs="仿宋_GB2312"/>
          <w:sz w:val="24"/>
          <w:szCs w:val="24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lang w:val="en-US" w:eastAsia="zh-CN"/>
        </w:rPr>
        <w:t xml:space="preserve"> </w:t>
      </w:r>
      <w:r>
        <w:rPr>
          <w:rFonts w:hint="eastAsia"/>
          <w:lang w:val="en-US" w:eastAsia="zh-CN"/>
        </w:rPr>
        <w:t xml:space="preserve">             </w:t>
      </w:r>
    </w:p>
    <w:p>
      <w:pPr>
        <w:rPr>
          <w:rFonts w:hint="eastAsia" w:ascii="仿宋_GB2312" w:hAnsi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cs="仿宋_GB2312"/>
          <w:sz w:val="24"/>
          <w:szCs w:val="24"/>
          <w:lang w:val="en-US" w:eastAsia="zh-CN"/>
        </w:rPr>
        <w:t xml:space="preserve">         </w:t>
      </w:r>
    </w:p>
    <w:p>
      <w:pPr>
        <w:rPr>
          <w:rFonts w:hint="eastAsia" w:ascii="仿宋_GB2312" w:hAnsi="仿宋_GB2312" w:cs="仿宋_GB2312"/>
          <w:kern w:val="2"/>
          <w:sz w:val="24"/>
          <w:szCs w:val="24"/>
          <w:lang w:val="en-US" w:eastAsia="zh-CN"/>
        </w:rPr>
      </w:pPr>
    </w:p>
    <w:p>
      <w:pPr>
        <w:rPr>
          <w:rFonts w:hint="eastAsia" w:ascii="仿宋_GB2312" w:hAnsi="仿宋_GB2312" w:cs="仿宋_GB2312"/>
          <w:kern w:val="2"/>
          <w:sz w:val="24"/>
          <w:szCs w:val="24"/>
          <w:lang w:val="en-US" w:eastAsia="zh-CN"/>
        </w:rPr>
      </w:pPr>
    </w:p>
    <w:p>
      <w:pPr>
        <w:rPr>
          <w:rFonts w:hint="eastAsia" w:ascii="仿宋_GB2312" w:hAnsi="仿宋_GB2312" w:cs="仿宋_GB2312"/>
          <w:kern w:val="2"/>
          <w:sz w:val="24"/>
          <w:szCs w:val="24"/>
          <w:lang w:val="en-US" w:eastAsia="zh-CN"/>
        </w:rPr>
      </w:pPr>
    </w:p>
    <w:p>
      <w:pPr>
        <w:rPr>
          <w:rFonts w:hint="eastAsia" w:ascii="仿宋_GB2312" w:hAnsi="仿宋_GB2312" w:cs="仿宋_GB2312"/>
          <w:kern w:val="2"/>
          <w:sz w:val="24"/>
          <w:szCs w:val="24"/>
          <w:lang w:val="en-US" w:eastAsia="zh-CN"/>
        </w:rPr>
      </w:pPr>
    </w:p>
    <w:p>
      <w:pPr>
        <w:tabs>
          <w:tab w:val="left" w:pos="1084"/>
        </w:tabs>
        <w:rPr>
          <w:rFonts w:hint="eastAsia"/>
          <w:lang w:val="en-US" w:eastAsia="zh-CN"/>
        </w:rPr>
      </w:pPr>
      <w:r>
        <w:rPr>
          <w:rFonts w:hint="eastAsia" w:ascii="仿宋_GB2312" w:hAnsi="仿宋_GB2312" w:cs="仿宋_GB2312"/>
          <w:kern w:val="2"/>
          <w:sz w:val="24"/>
          <w:szCs w:val="24"/>
          <w:lang w:val="en-US" w:eastAsia="zh-CN"/>
        </w:rPr>
        <w:tab/>
      </w:r>
      <w:r>
        <w:rPr>
          <w:rFonts w:hint="eastAsia" w:ascii="仿宋_GB2312" w:hAnsi="仿宋_GB2312" w:cs="仿宋_GB2312"/>
          <w:kern w:val="2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注：</w:t>
      </w:r>
      <w:r>
        <w:rPr>
          <w:rFonts w:hint="eastAsia" w:ascii="宋体" w:hAnsi="宋体" w:eastAsia="宋体" w:cs="宋体"/>
          <w:sz w:val="28"/>
          <w:szCs w:val="28"/>
        </w:rPr>
        <w:t>各市局分别于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2016年</w:t>
      </w:r>
      <w:r>
        <w:rPr>
          <w:rFonts w:hint="eastAsia" w:ascii="宋体" w:hAnsi="宋体" w:eastAsia="宋体" w:cs="宋体"/>
          <w:sz w:val="28"/>
          <w:szCs w:val="28"/>
        </w:rPr>
        <w:t>7月5日前和201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sz w:val="28"/>
          <w:szCs w:val="28"/>
        </w:rPr>
        <w:t>年1月5日前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报省局医疗器械监管处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</w:t>
      </w:r>
    </w:p>
    <w:p/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/>
    <w:p/>
    <w:sectPr>
      <w:pgSz w:w="16838" w:h="11906" w:orient="landscape"/>
      <w:pgMar w:top="1179" w:right="1440" w:bottom="1179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创艺简标宋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A92DCA"/>
    <w:rsid w:val="04AC27D8"/>
    <w:rsid w:val="0DD8750A"/>
    <w:rsid w:val="142A22A0"/>
    <w:rsid w:val="15A14FDF"/>
    <w:rsid w:val="242F5BFE"/>
    <w:rsid w:val="24BC41FA"/>
    <w:rsid w:val="40937432"/>
    <w:rsid w:val="480700E1"/>
    <w:rsid w:val="51A92DCA"/>
    <w:rsid w:val="57004D88"/>
    <w:rsid w:val="5A6E7EED"/>
    <w:rsid w:val="7B921E8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qFormat/>
    <w:uiPriority w:val="0"/>
    <w:rPr>
      <w:color w:val="333333"/>
      <w:u w:val="none"/>
    </w:rPr>
  </w:style>
  <w:style w:type="character" w:styleId="5">
    <w:name w:val="Hyperlink"/>
    <w:basedOn w:val="3"/>
    <w:qFormat/>
    <w:uiPriority w:val="0"/>
    <w:rPr>
      <w:color w:val="333333"/>
      <w:u w:val="none"/>
    </w:rPr>
  </w:style>
  <w:style w:type="character" w:customStyle="1" w:styleId="7">
    <w:name w:val="gwds_nopic"/>
    <w:basedOn w:val="3"/>
    <w:qFormat/>
    <w:uiPriority w:val="0"/>
  </w:style>
  <w:style w:type="character" w:customStyle="1" w:styleId="8">
    <w:name w:val="gwds_nopic1"/>
    <w:basedOn w:val="3"/>
    <w:qFormat/>
    <w:uiPriority w:val="0"/>
  </w:style>
  <w:style w:type="character" w:customStyle="1" w:styleId="9">
    <w:name w:val="gwds_nopic2"/>
    <w:basedOn w:val="3"/>
    <w:qFormat/>
    <w:uiPriority w:val="0"/>
  </w:style>
  <w:style w:type="character" w:customStyle="1" w:styleId="10">
    <w:name w:val="title21"/>
    <w:basedOn w:val="3"/>
    <w:qFormat/>
    <w:uiPriority w:val="0"/>
  </w:style>
  <w:style w:type="character" w:customStyle="1" w:styleId="11">
    <w:name w:val="licon2"/>
    <w:basedOn w:val="3"/>
    <w:qFormat/>
    <w:uiPriority w:val="0"/>
  </w:style>
  <w:style w:type="character" w:customStyle="1" w:styleId="12">
    <w:name w:val="bds_more"/>
    <w:basedOn w:val="3"/>
    <w:qFormat/>
    <w:uiPriority w:val="0"/>
    <w:rPr>
      <w:rFonts w:hint="eastAsia" w:ascii="宋体" w:hAnsi="宋体" w:eastAsia="宋体" w:cs="宋体"/>
    </w:rPr>
  </w:style>
  <w:style w:type="character" w:customStyle="1" w:styleId="13">
    <w:name w:val="bds_more1"/>
    <w:basedOn w:val="3"/>
    <w:qFormat/>
    <w:uiPriority w:val="0"/>
  </w:style>
  <w:style w:type="character" w:customStyle="1" w:styleId="14">
    <w:name w:val="bds_more2"/>
    <w:basedOn w:val="3"/>
    <w:qFormat/>
    <w:uiPriority w:val="0"/>
  </w:style>
  <w:style w:type="character" w:customStyle="1" w:styleId="15">
    <w:name w:val="licon4"/>
    <w:basedOn w:val="3"/>
    <w:qFormat/>
    <w:uiPriority w:val="0"/>
  </w:style>
  <w:style w:type="character" w:customStyle="1" w:styleId="16">
    <w:name w:val="title11"/>
    <w:basedOn w:val="3"/>
    <w:uiPriority w:val="0"/>
  </w:style>
  <w:style w:type="character" w:customStyle="1" w:styleId="17">
    <w:name w:val="last"/>
    <w:basedOn w:val="3"/>
    <w:qFormat/>
    <w:uiPriority w:val="0"/>
  </w:style>
  <w:style w:type="character" w:customStyle="1" w:styleId="18">
    <w:name w:val="licon3"/>
    <w:basedOn w:val="3"/>
    <w:qFormat/>
    <w:uiPriority w:val="0"/>
  </w:style>
  <w:style w:type="character" w:customStyle="1" w:styleId="19">
    <w:name w:val="licon1"/>
    <w:basedOn w:val="3"/>
    <w:qFormat/>
    <w:uiPriority w:val="0"/>
  </w:style>
  <w:style w:type="character" w:customStyle="1" w:styleId="20">
    <w:name w:val="bds_nopic"/>
    <w:basedOn w:val="3"/>
    <w:qFormat/>
    <w:uiPriority w:val="0"/>
  </w:style>
  <w:style w:type="character" w:customStyle="1" w:styleId="21">
    <w:name w:val="bds_nopic1"/>
    <w:basedOn w:val="3"/>
    <w:uiPriority w:val="0"/>
  </w:style>
  <w:style w:type="character" w:customStyle="1" w:styleId="22">
    <w:name w:val="bds_nopic2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2016-12-13T04:57:00Z</dcterms:created>
  <dc:creator>WuKeping</dc:creator>
  <cp:lastModifiedBy>lenovo</cp:lastModifiedBy>
  <dcterms:modified xsi:type="dcterms:W3CDTF">2017-01-19T08:36:10Z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